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28"/>
        <w:gridCol w:w="5180"/>
        <w:gridCol w:w="174"/>
        <w:gridCol w:w="98"/>
        <w:gridCol w:w="407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1EA959D" w:rsidR="00093CA9" w:rsidRDefault="00C03827"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E66643"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4CAF185" w:rsidR="00093CA9" w:rsidRPr="004B7E81" w:rsidRDefault="006C6986" w:rsidP="00093CA9">
            <w:pPr>
              <w:rPr>
                <w:lang w:val="es-ES"/>
              </w:rPr>
            </w:pPr>
            <w:r w:rsidRPr="004B7E81">
              <w:rPr>
                <w:lang w:val="es-ES"/>
              </w:rPr>
              <w:t>Law No. 20,780 – Establishes Green Tax on Stationary Emissions (Article 8) read with Supreme Decree No. 4, of 2023, of the Ministry of the Environment ((Ley N°20.780 – Crea el impuesto verde a emisiones de fuentes fijas, artículo 8 &amp; Decreto Supremo N°4, de 2023, del Ministerio del Medio Ambiente)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957B594" w14:textId="6A97F8C8" w:rsidR="00093CA9" w:rsidRDefault="004B7E81" w:rsidP="00093CA9">
            <w:hyperlink r:id="rId17" w:history="1">
              <w:r w:rsidRPr="00DD3E98">
                <w:rPr>
                  <w:rStyle w:val="Hipervnculo"/>
                </w:rPr>
                <w:t>https://web.archive.org/save/https://www.bcn.cl/leychile/navegar?idNorma=1067194&amp;idParte=9509251</w:t>
              </w:r>
            </w:hyperlink>
          </w:p>
          <w:p w14:paraId="1523C232" w14:textId="574C6663" w:rsidR="004B7E81" w:rsidRDefault="003522ED" w:rsidP="00093CA9">
            <w:hyperlink r:id="rId18" w:history="1">
              <w:r w:rsidRPr="00DD3E98">
                <w:rPr>
                  <w:rStyle w:val="Hipervnculo"/>
                </w:rPr>
                <w:t>https://web.archive.org/save/https://www.bcn.cl/leychile/navegar?idNorma=1196414</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306C621" w:rsidR="00093CA9" w:rsidRDefault="006C6986"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92DB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5EB8920" w:rsidR="00093CA9" w:rsidRDefault="006C6986"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BA552B0"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BBB3A37" w14:textId="7F3788CA" w:rsidR="00C840B5" w:rsidRDefault="00C840B5" w:rsidP="00C840B5">
            <w:pPr>
              <w:rPr>
                <w:lang w:val="en-US"/>
              </w:rPr>
            </w:pPr>
            <w:r w:rsidRPr="00C840B5">
              <w:rPr>
                <w:lang w:val="en-US"/>
              </w:rPr>
              <w:t xml:space="preserve">The </w:t>
            </w:r>
            <w:r w:rsidR="00281CB1">
              <w:rPr>
                <w:lang w:val="en-US"/>
              </w:rPr>
              <w:t xml:space="preserve">policy tool known as </w:t>
            </w:r>
            <w:r w:rsidRPr="00C840B5">
              <w:rPr>
                <w:lang w:val="en-US"/>
              </w:rPr>
              <w:t>Green Tax aims to incentivize emission reductions by imposing an annual tax on air emissions of specific pollutants</w:t>
            </w:r>
            <w:r w:rsidR="00E06A93">
              <w:rPr>
                <w:lang w:val="en-US"/>
              </w:rPr>
              <w:t xml:space="preserve"> (</w:t>
            </w:r>
            <w:r w:rsidRPr="00C840B5">
              <w:rPr>
                <w:lang w:val="en-US"/>
              </w:rPr>
              <w:t xml:space="preserve">particulate matter </w:t>
            </w:r>
            <w:r w:rsidR="00281CB1">
              <w:rPr>
                <w:lang w:val="en-US"/>
              </w:rPr>
              <w:t>or “</w:t>
            </w:r>
            <w:r w:rsidRPr="00C840B5">
              <w:rPr>
                <w:lang w:val="en-US"/>
              </w:rPr>
              <w:t>MP</w:t>
            </w:r>
            <w:r w:rsidR="00E06A93">
              <w:rPr>
                <w:lang w:val="en-US"/>
              </w:rPr>
              <w:t>”</w:t>
            </w:r>
            <w:r w:rsidRPr="00C840B5">
              <w:rPr>
                <w:lang w:val="en-US"/>
              </w:rPr>
              <w:t>, NOx, SO₂ and CO₂</w:t>
            </w:r>
            <w:r w:rsidR="00E06A93">
              <w:rPr>
                <w:lang w:val="en-US"/>
              </w:rPr>
              <w:t xml:space="preserve">) </w:t>
            </w:r>
            <w:r w:rsidRPr="00C840B5">
              <w:rPr>
                <w:lang w:val="en-US"/>
              </w:rPr>
              <w:t>produced by industrial facilities with significant emission levels (≥100 tons/year of MP or ≥25,000 tons/year of CO₂).</w:t>
            </w:r>
          </w:p>
          <w:p w14:paraId="4C11B38D" w14:textId="50980218" w:rsidR="00C85D11" w:rsidRPr="000A0F31" w:rsidRDefault="00C85D11" w:rsidP="00C840B5">
            <w:pPr>
              <w:rPr>
                <w:lang w:val="en-US"/>
              </w:rPr>
            </w:pPr>
            <w:r w:rsidRPr="00C85D11">
              <w:t xml:space="preserve">The </w:t>
            </w:r>
            <w:r>
              <w:t xml:space="preserve">policy </w:t>
            </w:r>
            <w:r w:rsidRPr="00C85D11">
              <w:t>tool contains mandatory disclosure requirements for affected emitters. Establishments meeting emission thresholds must report their emissions to the Superintendence of the Environment (SMA). These disclosures are used to determine tax liability and compliance</w:t>
            </w:r>
            <w:r w:rsidR="000A0F31">
              <w:t>: t</w:t>
            </w:r>
            <w:r w:rsidR="000A0F31" w:rsidRPr="000A0F31">
              <w:rPr>
                <w:lang w:val="en-US"/>
              </w:rPr>
              <w:t>he Ministry of Environment publishes a list of establishments required to report emissions annually</w:t>
            </w:r>
            <w:r w:rsidR="000A0F31">
              <w:rPr>
                <w:lang w:val="en-US"/>
              </w:rPr>
              <w:t>, f</w:t>
            </w:r>
            <w:r w:rsidR="000A0F31" w:rsidRPr="000A0F31">
              <w:rPr>
                <w:lang w:val="en-US"/>
              </w:rPr>
              <w:t>ailure to report does not exempt emitters from taxation, and sanctions apply in cases of non-complianc</w:t>
            </w:r>
            <w:r w:rsidR="000A0F31">
              <w:rPr>
                <w:lang w:val="en-US"/>
              </w:rPr>
              <w:t>e.</w:t>
            </w:r>
          </w:p>
          <w:p w14:paraId="689661CF" w14:textId="77777777" w:rsidR="00093CA9" w:rsidRDefault="00C85D11" w:rsidP="005B494A">
            <w:pPr>
              <w:rPr>
                <w:lang w:val="en-US"/>
              </w:rPr>
            </w:pPr>
            <w:r w:rsidRPr="00C85D11">
              <w:t>The</w:t>
            </w:r>
            <w:r>
              <w:t xml:space="preserve"> policy</w:t>
            </w:r>
            <w:r w:rsidRPr="00C85D11">
              <w:t xml:space="preserve"> tool </w:t>
            </w:r>
            <w:r>
              <w:t xml:space="preserve">also </w:t>
            </w:r>
            <w:r w:rsidRPr="00C85D11">
              <w:t>enables emission compensation via certified reduction projects, creating a compliance-based offset mechanism</w:t>
            </w:r>
            <w:r>
              <w:t>.</w:t>
            </w:r>
            <w:r w:rsidR="005B494A" w:rsidRPr="005B494A">
              <w:rPr>
                <w:rFonts w:ascii="Times New Roman" w:eastAsia="Times New Roman" w:hAnsi="Symbol" w:cs="Times New Roman"/>
                <w:kern w:val="0"/>
                <w:lang w:val="en-US" w:eastAsia="es-ES"/>
                <w14:ligatures w14:val="none"/>
              </w:rPr>
              <w:t xml:space="preserve"> </w:t>
            </w:r>
            <w:r w:rsidR="005B494A" w:rsidRPr="005B494A">
              <w:rPr>
                <w:lang w:val="en-US"/>
              </w:rPr>
              <w:t>Emitters may compensate for part or all their taxable emissions using emission reductions certified as additional, measurable, verifiable, and permanent.</w:t>
            </w:r>
            <w:r w:rsidR="005B494A">
              <w:rPr>
                <w:lang w:val="en-US"/>
              </w:rPr>
              <w:t xml:space="preserve"> </w:t>
            </w:r>
            <w:r w:rsidR="005B494A" w:rsidRPr="005B494A">
              <w:rPr>
                <w:lang w:val="en-US"/>
              </w:rPr>
              <w:t>Only reductions of the same pollutant and within geographical and temporal limits are allowed.</w:t>
            </w:r>
            <w:r w:rsidR="005B494A">
              <w:rPr>
                <w:lang w:val="en-US"/>
              </w:rPr>
              <w:t xml:space="preserve"> </w:t>
            </w:r>
            <w:r w:rsidR="005B494A" w:rsidRPr="005B494A">
              <w:rPr>
                <w:lang w:val="en-US"/>
              </w:rPr>
              <w:t>The system involves certificates of emission reductions, a national public registry, and authorized external auditors.</w:t>
            </w:r>
            <w:r w:rsidR="005B494A">
              <w:rPr>
                <w:lang w:val="en-US"/>
              </w:rPr>
              <w:t xml:space="preserve"> </w:t>
            </w:r>
          </w:p>
          <w:p w14:paraId="18257824" w14:textId="7943DF00" w:rsidR="003E65B3" w:rsidRPr="00C85D11" w:rsidRDefault="003E65B3" w:rsidP="005B494A">
            <w:pPr>
              <w:rPr>
                <w:lang w:val="en-US"/>
              </w:rPr>
            </w:pPr>
            <w:r w:rsidRPr="004D4336">
              <w:t xml:space="preserve">This policy tool should be analysed in conjunction with </w:t>
            </w:r>
            <w:r w:rsidR="00C203F6" w:rsidRPr="00D32225">
              <w:t>Exempt Resolution No. 585/2023 of the Superintendency of the Environment</w:t>
            </w:r>
            <w:r w:rsidR="00E66643">
              <w:t xml:space="preserve">, </w:t>
            </w:r>
            <w:r w:rsidR="007D77FF">
              <w:t xml:space="preserve">with </w:t>
            </w:r>
            <w:r w:rsidR="007D77FF" w:rsidRPr="007D7345">
              <w:t>Decree No. 63 of the Ministry of the Environment</w:t>
            </w:r>
            <w:r w:rsidR="00E66643">
              <w:t xml:space="preserve"> </w:t>
            </w:r>
            <w:r w:rsidR="00B86003">
              <w:t>and with Decree No. 4 of 2023 of the Ministry of Environment.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23EC2DA" w:rsidR="00093CA9" w:rsidRDefault="005B494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D4DCB90" w:rsidR="00093CA9" w:rsidRPr="00173D7C" w:rsidRDefault="00A0717B"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547CAAC" w:rsidR="00093CA9" w:rsidRDefault="00A0717B" w:rsidP="00093CA9">
            <w:r>
              <w:t>Legislature (Law) and Ministry (Decree)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A32CC70" w:rsidR="00093CA9" w:rsidRPr="006B7B0D" w:rsidRDefault="00A0717B" w:rsidP="00093CA9">
            <w:r>
              <w:t xml:space="preserve">Ministry of </w:t>
            </w:r>
            <w:r w:rsidR="00B11A81">
              <w:t>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6C3EBDD" w:rsidR="00093CA9" w:rsidRPr="006B7B0D" w:rsidRDefault="00B11A8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EAA48B8" w:rsidR="00093CA9" w:rsidRPr="006B7B0D" w:rsidRDefault="00B11A81" w:rsidP="00093CA9">
            <w:r>
              <w:t>Superintendenc</w:t>
            </w:r>
            <w:r w:rsidR="000202AF">
              <w:t>e</w:t>
            </w:r>
            <w:r>
              <w:t xml:space="preserve"> of the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E1A5A9C" w:rsidR="00093CA9" w:rsidRPr="006B7B0D" w:rsidRDefault="00B11A81"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F32520C" w:rsidR="00093CA9" w:rsidRPr="006B7B0D" w:rsidRDefault="00C334E1" w:rsidP="00093CA9">
            <w:r>
              <w:t>Internal Revenue Service</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37443C6" w:rsidR="00093CA9" w:rsidRPr="006B7B0D" w:rsidRDefault="00C334E1"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2C56C429" w14:textId="488EFB1C" w:rsidR="00C334E1" w:rsidRPr="00C334E1" w:rsidRDefault="00C334E1" w:rsidP="00C334E1">
            <w:pPr>
              <w:rPr>
                <w:lang w:val="en-US"/>
              </w:rPr>
            </w:pPr>
            <w:r w:rsidRPr="00C334E1">
              <w:rPr>
                <w:lang w:val="en-US"/>
              </w:rPr>
              <w:t>Th</w:t>
            </w:r>
            <w:r>
              <w:rPr>
                <w:lang w:val="en-US"/>
              </w:rPr>
              <w:t>e M</w:t>
            </w:r>
            <w:r w:rsidRPr="00C334E1">
              <w:rPr>
                <w:lang w:val="en-US"/>
              </w:rPr>
              <w:t xml:space="preserve">inistry of the Environment </w:t>
            </w:r>
            <w:r>
              <w:rPr>
                <w:lang w:val="en-US"/>
              </w:rPr>
              <w:t>is</w:t>
            </w:r>
            <w:r w:rsidRPr="00C334E1">
              <w:rPr>
                <w:lang w:val="en-US"/>
              </w:rPr>
              <w:t xml:space="preserve"> responsible for regulatory oversight, approving emissions reduction projects, issuing certificates of reduction, and publishing relevant lists and methodologies.</w:t>
            </w:r>
          </w:p>
          <w:p w14:paraId="17B01ECE" w14:textId="029D41F9" w:rsidR="00C334E1" w:rsidRPr="00C334E1" w:rsidRDefault="00C334E1" w:rsidP="00C334E1">
            <w:pPr>
              <w:rPr>
                <w:lang w:val="en-US"/>
              </w:rPr>
            </w:pPr>
            <w:r>
              <w:rPr>
                <w:lang w:val="en-US"/>
              </w:rPr>
              <w:lastRenderedPageBreak/>
              <w:t>The</w:t>
            </w:r>
            <w:r w:rsidRPr="00C334E1">
              <w:rPr>
                <w:lang w:val="en-US"/>
              </w:rPr>
              <w:t xml:space="preserve"> Superintendence of the Environment </w:t>
            </w:r>
            <w:r w:rsidR="000202AF">
              <w:rPr>
                <w:lang w:val="en-US"/>
              </w:rPr>
              <w:t xml:space="preserve">is </w:t>
            </w:r>
            <w:r w:rsidRPr="00C334E1">
              <w:rPr>
                <w:lang w:val="en-US"/>
              </w:rPr>
              <w:t>responsible for monitoring compliance, validating emission reports, maintaining the public registry, and transmitting verified emissions data to the Internal Revenue Service for tax calculation</w:t>
            </w:r>
            <w:r w:rsidR="000202AF">
              <w:rPr>
                <w:lang w:val="en-US"/>
              </w:rPr>
              <w:t>.</w:t>
            </w:r>
          </w:p>
          <w:p w14:paraId="42D06D03" w14:textId="18731100" w:rsidR="00093CA9" w:rsidRPr="005D01FF" w:rsidRDefault="000202AF" w:rsidP="00093CA9">
            <w:pPr>
              <w:rPr>
                <w:lang w:val="en-US"/>
              </w:rPr>
            </w:pPr>
            <w:r w:rsidRPr="000202AF">
              <w:rPr>
                <w:lang w:val="en-US"/>
              </w:rPr>
              <w:t>Fi</w:t>
            </w:r>
            <w:r>
              <w:rPr>
                <w:lang w:val="en-US"/>
              </w:rPr>
              <w:t xml:space="preserve">nally, the </w:t>
            </w:r>
            <w:r w:rsidR="00C334E1" w:rsidRPr="00C334E1">
              <w:rPr>
                <w:lang w:val="en-US"/>
              </w:rPr>
              <w:t xml:space="preserve">Internal Revenue Service (Servicio de Impuestos Internos, SII) </w:t>
            </w:r>
            <w:r>
              <w:rPr>
                <w:lang w:val="en-US"/>
              </w:rPr>
              <w:t xml:space="preserve">is </w:t>
            </w:r>
            <w:r w:rsidR="00C334E1" w:rsidRPr="00C334E1">
              <w:rPr>
                <w:lang w:val="en-US"/>
              </w:rPr>
              <w:t>responsible for calculating and issuing the tax based on data received from the SMA</w:t>
            </w:r>
            <w:r>
              <w:rPr>
                <w:lang w:val="en-US"/>
              </w:rPr>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63F9BB0"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F112F2A" w:rsidR="00093CA9" w:rsidRDefault="00D5775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27ADF9C" w14:textId="66404B18" w:rsidR="00D57753" w:rsidRPr="00D57753" w:rsidRDefault="00392750" w:rsidP="00D57753">
            <w:pPr>
              <w:keepNext/>
              <w:rPr>
                <w:color w:val="000000" w:themeColor="text1"/>
                <w:lang w:val="en-US"/>
              </w:rPr>
            </w:pPr>
            <w:r>
              <w:rPr>
                <w:color w:val="000000" w:themeColor="text1"/>
              </w:rPr>
              <w:t xml:space="preserve">According to </w:t>
            </w:r>
            <w:r w:rsidRPr="00392750">
              <w:rPr>
                <w:color w:val="000000" w:themeColor="text1"/>
              </w:rPr>
              <w:t>Article 8, Law No. 20.780</w:t>
            </w:r>
            <w:r>
              <w:rPr>
                <w:color w:val="000000" w:themeColor="text1"/>
              </w:rPr>
              <w:t xml:space="preserve">, </w:t>
            </w:r>
            <w:r w:rsidR="00741920">
              <w:rPr>
                <w:color w:val="000000" w:themeColor="text1"/>
              </w:rPr>
              <w:t xml:space="preserve">and Articles </w:t>
            </w:r>
            <w:r w:rsidR="00254852">
              <w:rPr>
                <w:color w:val="000000" w:themeColor="text1"/>
              </w:rPr>
              <w:t xml:space="preserve">27 and 32 of the Decree No. 4 of 20243, </w:t>
            </w:r>
            <w:r>
              <w:rPr>
                <w:color w:val="000000" w:themeColor="text1"/>
              </w:rPr>
              <w:t>t</w:t>
            </w:r>
            <w:r w:rsidR="00D57753" w:rsidRPr="00D57753">
              <w:rPr>
                <w:color w:val="000000" w:themeColor="text1"/>
                <w:lang w:val="en-US"/>
              </w:rPr>
              <w:t>he</w:t>
            </w:r>
            <w:r w:rsidR="00D57753" w:rsidRPr="00392750">
              <w:rPr>
                <w:color w:val="000000" w:themeColor="text1"/>
                <w:lang w:val="en-US"/>
              </w:rPr>
              <w:t xml:space="preserve"> monitoring systems i</w:t>
            </w:r>
            <w:r w:rsidR="00D57753" w:rsidRPr="00D57753">
              <w:rPr>
                <w:color w:val="000000" w:themeColor="text1"/>
                <w:lang w:val="en-US"/>
              </w:rPr>
              <w:t>nclude:</w:t>
            </w:r>
          </w:p>
          <w:p w14:paraId="70085BBE" w14:textId="3C38C00B" w:rsidR="00461FCB" w:rsidRDefault="00D57753" w:rsidP="00461FCB">
            <w:pPr>
              <w:pStyle w:val="Prrafodelista"/>
              <w:keepNext/>
              <w:numPr>
                <w:ilvl w:val="0"/>
                <w:numId w:val="50"/>
              </w:numPr>
              <w:rPr>
                <w:color w:val="000000" w:themeColor="text1"/>
                <w:lang w:val="en-US"/>
              </w:rPr>
            </w:pPr>
            <w:r w:rsidRPr="00D57753">
              <w:rPr>
                <w:color w:val="000000" w:themeColor="text1"/>
                <w:lang w:val="en-US"/>
              </w:rPr>
              <w:t>Mandatory annual reporting of emissions by regulated establishments to the Superintendence of the Environment (SMA)</w:t>
            </w:r>
            <w:r w:rsidR="00461FCB">
              <w:rPr>
                <w:color w:val="000000" w:themeColor="text1"/>
                <w:lang w:val="en-US"/>
              </w:rPr>
              <w:t>.</w:t>
            </w:r>
            <w:r w:rsidR="00392750" w:rsidRPr="00392750">
              <w:rPr>
                <w:color w:val="000000" w:themeColor="text1"/>
                <w:lang w:val="en-US"/>
              </w:rPr>
              <w:t xml:space="preserve"> </w:t>
            </w:r>
          </w:p>
          <w:p w14:paraId="25F77829" w14:textId="544666C4" w:rsidR="00461FCB" w:rsidRDefault="00D57753" w:rsidP="00461FCB">
            <w:pPr>
              <w:pStyle w:val="Prrafodelista"/>
              <w:keepNext/>
              <w:numPr>
                <w:ilvl w:val="0"/>
                <w:numId w:val="50"/>
              </w:numPr>
              <w:rPr>
                <w:color w:val="000000" w:themeColor="text1"/>
                <w:lang w:val="en-US"/>
              </w:rPr>
            </w:pPr>
            <w:r w:rsidRPr="00461FCB">
              <w:rPr>
                <w:color w:val="000000" w:themeColor="text1"/>
                <w:lang w:val="en-US"/>
              </w:rPr>
              <w:t>Certification and verification of emissions reductions by authorized external auditors</w:t>
            </w:r>
            <w:r w:rsidR="00461FCB">
              <w:rPr>
                <w:color w:val="000000" w:themeColor="text1"/>
                <w:lang w:val="en-US"/>
              </w:rPr>
              <w:t>.</w:t>
            </w:r>
          </w:p>
          <w:p w14:paraId="40303DBA" w14:textId="3B91D9E4" w:rsidR="00461FCB" w:rsidRDefault="00D57753" w:rsidP="00461FCB">
            <w:pPr>
              <w:pStyle w:val="Prrafodelista"/>
              <w:keepNext/>
              <w:numPr>
                <w:ilvl w:val="0"/>
                <w:numId w:val="50"/>
              </w:numPr>
              <w:rPr>
                <w:color w:val="000000" w:themeColor="text1"/>
                <w:lang w:val="en-US"/>
              </w:rPr>
            </w:pPr>
            <w:r w:rsidRPr="00461FCB">
              <w:rPr>
                <w:color w:val="000000" w:themeColor="text1"/>
                <w:lang w:val="en-US"/>
              </w:rPr>
              <w:t>A public registry maintained by the SMA, containing data on approved projects, verified reductions, certified emissions, and auditors.</w:t>
            </w:r>
          </w:p>
          <w:p w14:paraId="2C2128DB" w14:textId="1DC361DD" w:rsidR="00093CA9" w:rsidRPr="00C070EA" w:rsidRDefault="00D57753" w:rsidP="00093CA9">
            <w:pPr>
              <w:pStyle w:val="Prrafodelista"/>
              <w:keepNext/>
              <w:numPr>
                <w:ilvl w:val="0"/>
                <w:numId w:val="50"/>
              </w:numPr>
              <w:rPr>
                <w:color w:val="000000" w:themeColor="text1"/>
                <w:lang w:val="en-US"/>
              </w:rPr>
            </w:pPr>
            <w:r w:rsidRPr="00461FCB">
              <w:rPr>
                <w:color w:val="000000" w:themeColor="text1"/>
                <w:lang w:val="en-US"/>
              </w:rPr>
              <w:t>The SMA consolidates emissions data annually and submits it to the Internal Revenue Service for tax calculation.</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30878166" w:rsidR="00CF5268" w:rsidRDefault="00170B1D"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597BF8ED" w:rsidR="00CF5268" w:rsidRDefault="00170B1D"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32A936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06A6417A" w:rsidR="00CF5268" w:rsidRDefault="0096759E"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96310D7" w:rsidR="00CF5268" w:rsidRDefault="00170B1D"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688A0037" w:rsidR="00CF5268" w:rsidRDefault="00170B1D"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11371E6B" w:rsidR="466E435B" w:rsidRDefault="00170B1D" w:rsidP="00DD3144">
            <w:r>
              <w:t>X</w:t>
            </w:r>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A969995" w:rsidR="00CF5268" w:rsidRDefault="00170B1D"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E8EB122" w:rsidR="466E435B" w:rsidRDefault="00170B1D"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532E548B" w:rsidR="466E435B" w:rsidRDefault="00170B1D"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336E479E" w:rsidR="466E435B" w:rsidRDefault="00170B1D"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8BE3A30" w:rsidR="466E435B" w:rsidRDefault="00170B1D"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6D7B58EA"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365A519" w:rsidR="00CF5268" w:rsidRDefault="0096759E"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5453B8B9" w:rsidR="0039223F" w:rsidRPr="009A3606" w:rsidRDefault="009A3606" w:rsidP="00DD3144">
            <w:r w:rsidRPr="009A3606">
              <w:t>The policy tool does not target entities by sector. It applies exclusively to establishments whose emissions exceed specified thresholds, regardless of the sector in which they operate</w:t>
            </w:r>
            <w:r w:rsidR="00F32DA8">
              <w: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Pr="009A3606" w:rsidRDefault="003243E3" w:rsidP="00DD3144">
            <w:r w:rsidRPr="009A3606">
              <w:t>Describe the threshold criteria to identify entities for whom or instances in which compliance is mandatory.</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E6664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4B7E81" w:rsidRDefault="00107CE2" w:rsidP="00DD3144">
            <w:pPr>
              <w:rPr>
                <w:lang w:val="fr-FR"/>
              </w:rPr>
            </w:pPr>
            <w:r w:rsidRPr="004B7E81">
              <w:rPr>
                <w:lang w:val="fr-FR"/>
              </w:rPr>
              <w:t>Minimum revenue (Enter minimum revenue)</w:t>
            </w:r>
          </w:p>
        </w:tc>
        <w:tc>
          <w:tcPr>
            <w:tcW w:w="4910" w:type="dxa"/>
            <w:gridSpan w:val="7"/>
            <w:shd w:val="clear" w:color="auto" w:fill="auto"/>
            <w:vAlign w:val="center"/>
          </w:tcPr>
          <w:p w14:paraId="2518BD70" w14:textId="77777777" w:rsidR="00524D54" w:rsidRPr="004B7E81" w:rsidRDefault="00524D54" w:rsidP="00DD3144">
            <w:pPr>
              <w:rPr>
                <w:lang w:val="fr-FR"/>
              </w:rPr>
            </w:pPr>
          </w:p>
        </w:tc>
      </w:tr>
      <w:tr w:rsidR="00524D54" w:rsidRPr="00E66643"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rsidRPr="00F32DA8"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72FCAD31" w14:textId="77777777" w:rsidR="00F32DA8" w:rsidRDefault="00F32DA8" w:rsidP="00F32DA8">
            <w:r>
              <w:t>Entities (natural or legal persons) operating establishments with emissions equal to or exceeding either of the following thresholds:</w:t>
            </w:r>
          </w:p>
          <w:p w14:paraId="5A691133" w14:textId="77777777" w:rsidR="00F32DA8" w:rsidRDefault="00F32DA8" w:rsidP="00F32DA8">
            <w:r>
              <w:t>- 100 or more tons/year of MP</w:t>
            </w:r>
            <w:r>
              <w:tab/>
            </w:r>
          </w:p>
          <w:p w14:paraId="52C1CE50" w14:textId="46ACF4BE" w:rsidR="00524D54" w:rsidRPr="00F32DA8" w:rsidRDefault="00F32DA8" w:rsidP="00F32DA8">
            <w:r>
              <w:t>- 25,000 or more tons/year of CO₂</w:t>
            </w:r>
            <w:r>
              <w:tab/>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13820F8E" w:rsidR="00576ED8" w:rsidRDefault="009E51A2"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D3E0C2B" w:rsidR="00911F20" w:rsidRDefault="00E12434"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453C4003" w:rsidR="00911F20" w:rsidRDefault="001E23E7"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1CDF8056"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05098F2C" w14:textId="0C801636" w:rsidR="009C4798" w:rsidRDefault="00E12434" w:rsidP="00E12434">
            <w:pPr>
              <w:pStyle w:val="Prrafodelista"/>
              <w:numPr>
                <w:ilvl w:val="0"/>
                <w:numId w:val="50"/>
              </w:numPr>
            </w:pPr>
            <w:r w:rsidRPr="00E12434">
              <w:t>Failure to pay the emissions tax on time is sanctioned under Article 97 No. 11 of the Chilean Tax Code, as referenced in Article 8 of Law No. 20.780</w:t>
            </w:r>
            <w:r w:rsidR="008538CE">
              <w:t>.</w:t>
            </w:r>
          </w:p>
          <w:p w14:paraId="6475235A" w14:textId="23463C76" w:rsidR="002D16BE" w:rsidRPr="00E12434" w:rsidRDefault="002D16BE" w:rsidP="00E12434">
            <w:pPr>
              <w:pStyle w:val="Prrafodelista"/>
              <w:numPr>
                <w:ilvl w:val="0"/>
                <w:numId w:val="50"/>
              </w:numPr>
            </w:pPr>
            <w:r w:rsidRPr="002D16BE">
              <w:t>Entities that fail to report emissions or do so late are not exempt from paying the tax and may be sanctioned by the Superintendence of the Environment in accordance with its Organic Law (</w:t>
            </w:r>
            <w:proofErr w:type="gramStart"/>
            <w:r w:rsidR="008538CE">
              <w:t>see:</w:t>
            </w:r>
            <w:proofErr w:type="gramEnd"/>
            <w:r w:rsidR="008538CE">
              <w:t xml:space="preserve"> </w:t>
            </w:r>
            <w:r w:rsidRPr="002D16BE">
              <w:t>Article 8</w:t>
            </w:r>
            <w:r>
              <w:t xml:space="preserve"> </w:t>
            </w:r>
            <w:r w:rsidRPr="00E12434">
              <w:t>of Law No. 20.780</w:t>
            </w:r>
            <w:r w:rsidRPr="002D16BE">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555B2385" w:rsidR="00CB1649" w:rsidRPr="00FA0CF8" w:rsidRDefault="003F6246"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DC32BD8" w14:textId="77777777" w:rsidR="00BE0825" w:rsidRDefault="00B43FE3" w:rsidP="00B43FE3">
            <w:pPr>
              <w:spacing w:line="276" w:lineRule="auto"/>
              <w:rPr>
                <w:b/>
                <w:bCs/>
                <w:color w:val="000000" w:themeColor="text1"/>
                <w:lang w:val="en-US"/>
              </w:rPr>
            </w:pPr>
            <w:r w:rsidRPr="00B43FE3">
              <w:rPr>
                <w:color w:val="000000" w:themeColor="text1"/>
                <w:lang w:val="en-US"/>
              </w:rPr>
              <w:t>SMA initiated sanction procedures against two companies</w:t>
            </w:r>
            <w:r>
              <w:rPr>
                <w:color w:val="000000" w:themeColor="text1"/>
                <w:lang w:val="en-US"/>
              </w:rPr>
              <w:t xml:space="preserve"> </w:t>
            </w:r>
            <w:r w:rsidRPr="00B43FE3">
              <w:rPr>
                <w:color w:val="000000" w:themeColor="text1"/>
                <w:lang w:val="en-US"/>
              </w:rPr>
              <w:t>for failing to submit their quarterly emissions monitoring reports under the Green Tax framework</w:t>
            </w:r>
            <w:r>
              <w:rPr>
                <w:color w:val="000000" w:themeColor="text1"/>
                <w:lang w:val="en-US"/>
              </w:rPr>
              <w:t>: Energía León and Tulsa S.A.</w:t>
            </w:r>
          </w:p>
          <w:p w14:paraId="21FC1B7F" w14:textId="762DC92B" w:rsidR="00224105" w:rsidRDefault="00F97768" w:rsidP="00B43FE3">
            <w:pPr>
              <w:spacing w:line="276" w:lineRule="auto"/>
              <w:rPr>
                <w:color w:val="000000" w:themeColor="text1"/>
              </w:rPr>
            </w:pPr>
            <w:hyperlink r:id="rId19" w:history="1">
              <w:r w:rsidRPr="00430556">
                <w:rPr>
                  <w:rStyle w:val="Hipervnculo"/>
                </w:rPr>
                <w:t>https://web.archive.org/save/https://portal.sma.gob.cl/index.php/primeros-sancionatorios-por-impuestos-verdes-sma-formula-cargos-gravisimos-contra-dos-empresas-por-no-reportar-emisiones-en-registro-de-emisiones-y-transferencias-de-contaminantes/</w:t>
              </w:r>
            </w:hyperlink>
            <w:r>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DED905C" w:rsidR="008063B5" w:rsidRDefault="00F25A4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067A05C7" w:rsidR="00042406" w:rsidRDefault="000D0653"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5278B21B" w:rsidR="00042406" w:rsidRDefault="000136D5"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B5594D0" w:rsidR="00042406" w:rsidRDefault="000136D5"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1D3AFC0E" w:rsidR="00042406" w:rsidRDefault="000136D5"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AE46EBD" w:rsidR="00042406" w:rsidRDefault="000136D5"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287937B5" w:rsidR="00042406" w:rsidRDefault="000136D5"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4D5AD5B9" w:rsidR="00042406" w:rsidRDefault="000136D5"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750F8235" w:rsidR="00B0479E" w:rsidRPr="00F75058" w:rsidRDefault="000E59E6"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E66643"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4B7E81" w:rsidRDefault="00B0479E" w:rsidP="00DD3144">
            <w:pPr>
              <w:rPr>
                <w:lang w:val="fr-FR"/>
              </w:rPr>
            </w:pPr>
            <w:r w:rsidRPr="004B7E81">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4B7E81"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104BEEE2" w:rsidR="00B0479E" w:rsidRDefault="009736BF"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09B7E85F" w:rsidR="00B0479E" w:rsidRDefault="001A016E"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1C4A100B" w:rsidR="00B0479E" w:rsidRDefault="001A016E"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26541C48" w14:textId="36132FFC" w:rsidR="001A016E" w:rsidRDefault="001A016E" w:rsidP="001A016E">
            <w:pPr>
              <w:tabs>
                <w:tab w:val="num" w:pos="720"/>
              </w:tabs>
              <w:rPr>
                <w:rFonts w:ascii="Calibri" w:hAnsi="Calibri" w:cs="Calibri"/>
                <w:lang w:val="en-US"/>
              </w:rPr>
            </w:pPr>
            <w:r w:rsidRPr="001A016E">
              <w:rPr>
                <w:rFonts w:ascii="Calibri" w:hAnsi="Calibri" w:cs="Calibri"/>
                <w:lang w:val="en-US"/>
              </w:rPr>
              <w:t>Entities subject to the Green Tax are required to disclose emissions using methodologies specified by SMA. According to Article 8</w:t>
            </w:r>
            <w:r>
              <w:rPr>
                <w:rFonts w:ascii="Calibri" w:hAnsi="Calibri" w:cs="Calibri"/>
                <w:lang w:val="en-US"/>
              </w:rPr>
              <w:t xml:space="preserve"> </w:t>
            </w:r>
            <w:r w:rsidRPr="001A016E">
              <w:rPr>
                <w:rFonts w:ascii="Calibri" w:hAnsi="Calibri" w:cs="Calibri"/>
                <w:lang w:val="en-US"/>
              </w:rPr>
              <w:t>of Law No. 20.780, entities must report emissions in accordance with general instructions issued by the SMA, which define</w:t>
            </w:r>
            <w:r>
              <w:rPr>
                <w:rFonts w:ascii="Calibri" w:hAnsi="Calibri" w:cs="Calibri"/>
                <w:lang w:val="en-US"/>
              </w:rPr>
              <w:t xml:space="preserve"> m</w:t>
            </w:r>
            <w:r w:rsidRPr="001A016E">
              <w:rPr>
                <w:rFonts w:ascii="Calibri" w:hAnsi="Calibri" w:cs="Calibri"/>
                <w:lang w:val="en-US"/>
              </w:rPr>
              <w:t>inimum operational requirements</w:t>
            </w:r>
            <w:r>
              <w:rPr>
                <w:rFonts w:ascii="Calibri" w:hAnsi="Calibri" w:cs="Calibri"/>
                <w:lang w:val="en-US"/>
              </w:rPr>
              <w:t>, q</w:t>
            </w:r>
            <w:r w:rsidRPr="001A016E">
              <w:rPr>
                <w:rFonts w:ascii="Calibri" w:hAnsi="Calibri" w:cs="Calibri"/>
                <w:lang w:val="en-US"/>
              </w:rPr>
              <w:t>uality control and assurance protocols,</w:t>
            </w:r>
            <w:r>
              <w:rPr>
                <w:rFonts w:ascii="Calibri" w:hAnsi="Calibri" w:cs="Calibri"/>
                <w:lang w:val="en-US"/>
              </w:rPr>
              <w:t xml:space="preserve"> and f</w:t>
            </w:r>
            <w:r w:rsidRPr="001A016E">
              <w:rPr>
                <w:rFonts w:ascii="Calibri" w:hAnsi="Calibri" w:cs="Calibri"/>
                <w:lang w:val="en-US"/>
              </w:rPr>
              <w:t>ormats and means of data submission</w:t>
            </w:r>
            <w:r>
              <w:rPr>
                <w:rFonts w:ascii="Calibri" w:hAnsi="Calibri" w:cs="Calibri"/>
                <w:lang w:val="en-US"/>
              </w:rPr>
              <w:t>.</w:t>
            </w:r>
          </w:p>
          <w:p w14:paraId="39D4D3D6" w14:textId="45685BEF" w:rsidR="001A016E" w:rsidRDefault="00B34DDE" w:rsidP="00B34DDE">
            <w:pPr>
              <w:tabs>
                <w:tab w:val="num" w:pos="720"/>
              </w:tabs>
              <w:rPr>
                <w:rFonts w:ascii="Calibri" w:hAnsi="Calibri" w:cs="Calibri"/>
              </w:rPr>
            </w:pPr>
            <w:r>
              <w:rPr>
                <w:rFonts w:ascii="Calibri" w:hAnsi="Calibri" w:cs="Calibri"/>
              </w:rPr>
              <w:t>Additionally, t</w:t>
            </w:r>
            <w:r w:rsidRPr="00B34DDE">
              <w:rPr>
                <w:rFonts w:ascii="Calibri" w:hAnsi="Calibri" w:cs="Calibri"/>
              </w:rPr>
              <w:t xml:space="preserve">hird-party verification is </w:t>
            </w:r>
            <w:r w:rsidRPr="00B34DDE">
              <w:rPr>
                <w:rFonts w:ascii="Calibri" w:hAnsi="Calibri" w:cs="Calibri"/>
                <w:b/>
                <w:bCs/>
              </w:rPr>
              <w:t>required</w:t>
            </w:r>
            <w:r w:rsidRPr="00B34DDE">
              <w:rPr>
                <w:rFonts w:ascii="Calibri" w:hAnsi="Calibri" w:cs="Calibri"/>
              </w:rPr>
              <w:t xml:space="preserve"> for compensated (offset) emissions; for base emissions reporting, the monitoring system itself must be </w:t>
            </w:r>
            <w:r w:rsidRPr="00B34DDE">
              <w:rPr>
                <w:rFonts w:ascii="Calibri" w:hAnsi="Calibri" w:cs="Calibri"/>
                <w:b/>
                <w:bCs/>
              </w:rPr>
              <w:t>certified</w:t>
            </w:r>
            <w:r w:rsidRPr="00B34DDE">
              <w:rPr>
                <w:rFonts w:ascii="Calibri" w:hAnsi="Calibri" w:cs="Calibri"/>
              </w:rPr>
              <w:t xml:space="preserve">, but not necessarily externally verified. </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4E939D1D" w:rsidR="00B0479E" w:rsidRDefault="007406E6"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0FFF44F8" w:rsidR="00B0479E" w:rsidRDefault="007406E6"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4F0592FE" w:rsidR="00B0479E" w:rsidRDefault="007406E6" w:rsidP="00DD3144">
            <w:pPr>
              <w:spacing w:line="276" w:lineRule="auto"/>
              <w:rPr>
                <w:rFonts w:ascii="Calibri" w:hAnsi="Calibri" w:cs="Calibri"/>
              </w:rPr>
            </w:pPr>
            <w:r>
              <w:rPr>
                <w:rFonts w:ascii="Calibri" w:hAnsi="Calibri" w:cs="Calibri"/>
              </w:rPr>
              <w:t>x</w:t>
            </w: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706DDA03" w14:textId="754E63F4" w:rsidR="00EA0498" w:rsidRPr="00EA0498" w:rsidRDefault="00EA0498" w:rsidP="00EA0498">
            <w:pPr>
              <w:tabs>
                <w:tab w:val="num" w:pos="720"/>
              </w:tabs>
              <w:rPr>
                <w:lang w:val="en-US"/>
              </w:rPr>
            </w:pPr>
            <w:r w:rsidRPr="00EA0498">
              <w:rPr>
                <w:lang w:val="en-US"/>
              </w:rPr>
              <w:t>Article 8 of Law No. 20.780 establishes that entities subject to the tax may compensate for part or all their emissions with projects that reduce emissions of the same pollutant, provided these reductions are additional, measurable, verifiable, and permanent. These reductions must be in addition to existing legal obligations.</w:t>
            </w:r>
          </w:p>
          <w:p w14:paraId="41519BB4" w14:textId="667CFFA1" w:rsidR="00EA0498" w:rsidRPr="00EA0498" w:rsidRDefault="00EA0498" w:rsidP="00EA0498">
            <w:pPr>
              <w:rPr>
                <w:lang w:val="en-US"/>
              </w:rPr>
            </w:pPr>
            <w:r w:rsidRPr="00EA0498">
              <w:rPr>
                <w:lang w:val="en-US"/>
              </w:rPr>
              <w:t>Projects must be submitted to the Ministry of the Environment, which will evaluate and approve them via a resolution. It also mandates that the reductions be certified by an external auditor authorized by the Superintendence of the Environment, using methodologies approved by the Superintendence.</w:t>
            </w:r>
          </w:p>
          <w:p w14:paraId="72CF108B" w14:textId="2F566E07" w:rsidR="00EA0498" w:rsidRPr="00EA0498" w:rsidRDefault="00EA0498" w:rsidP="00EA0498">
            <w:pPr>
              <w:rPr>
                <w:lang w:val="en-US"/>
              </w:rPr>
            </w:pPr>
            <w:r w:rsidRPr="00EA0498">
              <w:rPr>
                <w:lang w:val="en-US"/>
              </w:rPr>
              <w:t>Once the emission reductions are verified and certified, the Superintendence must calculate the final net emissions, including verified reductions, and send this information to the Internal Revenue Service for tax calculation.</w:t>
            </w:r>
          </w:p>
          <w:p w14:paraId="30DEEBB1" w14:textId="01342DE3" w:rsidR="00CB4F2B" w:rsidRPr="00CB4F2B" w:rsidRDefault="00CB4F2B" w:rsidP="00CB4F2B">
            <w:pPr>
              <w:rPr>
                <w:lang w:val="en-US"/>
              </w:rPr>
            </w:pPr>
            <w:r w:rsidRPr="00CB4F2B">
              <w:rPr>
                <w:lang w:val="en-US"/>
              </w:rPr>
              <w:t>Also, according to Article 27</w:t>
            </w:r>
            <w:r w:rsidR="00AC484A">
              <w:rPr>
                <w:lang w:val="en-US"/>
              </w:rPr>
              <w:t xml:space="preserve"> of </w:t>
            </w:r>
            <w:r w:rsidR="00AC484A" w:rsidRPr="00AC484A">
              <w:t>Decree No. 4 of 2023</w:t>
            </w:r>
            <w:r w:rsidRPr="00CB4F2B">
              <w:rPr>
                <w:lang w:val="en-US"/>
              </w:rPr>
              <w:t>, the Superintendence of the Environment must validate and record the emission reductions verified by an external auditor. This validation is necessary for the issuance of emission reduction certificates by the Ministry of the Environment.</w:t>
            </w:r>
          </w:p>
          <w:p w14:paraId="243738D1" w14:textId="7BF0BE82" w:rsidR="00CB4F2B" w:rsidRPr="00CB4F2B" w:rsidRDefault="00CB4F2B" w:rsidP="00AC484A">
            <w:pPr>
              <w:tabs>
                <w:tab w:val="num" w:pos="1440"/>
              </w:tabs>
              <w:rPr>
                <w:lang w:val="en-US"/>
              </w:rPr>
            </w:pPr>
            <w:r>
              <w:rPr>
                <w:lang w:val="en-US"/>
              </w:rPr>
              <w:t xml:space="preserve">Finally, according to </w:t>
            </w:r>
            <w:r w:rsidRPr="00CB4F2B">
              <w:rPr>
                <w:lang w:val="en-US"/>
              </w:rPr>
              <w:t>Article</w:t>
            </w:r>
            <w:r>
              <w:rPr>
                <w:lang w:val="en-US"/>
              </w:rPr>
              <w:t>s</w:t>
            </w:r>
            <w:r w:rsidRPr="00CB4F2B">
              <w:rPr>
                <w:lang w:val="en-US"/>
              </w:rPr>
              <w:t xml:space="preserve"> 28</w:t>
            </w:r>
            <w:r w:rsidR="00943E1C">
              <w:rPr>
                <w:lang w:val="en-US"/>
              </w:rPr>
              <w:t xml:space="preserve">, 19 and </w:t>
            </w:r>
            <w:r w:rsidRPr="00CB4F2B">
              <w:rPr>
                <w:lang w:val="en-US"/>
              </w:rPr>
              <w:t>30</w:t>
            </w:r>
            <w:r w:rsidR="00AC484A">
              <w:rPr>
                <w:lang w:val="en-US"/>
              </w:rPr>
              <w:t xml:space="preserve"> of </w:t>
            </w:r>
            <w:r w:rsidR="00AC484A" w:rsidRPr="00AC484A">
              <w:t>Decree No. 4 of 2023</w:t>
            </w:r>
            <w:r w:rsidR="00AC484A">
              <w:t xml:space="preserve">, </w:t>
            </w:r>
            <w:r w:rsidR="00AC484A" w:rsidRPr="00CB4F2B">
              <w:rPr>
                <w:lang w:val="en-US"/>
              </w:rPr>
              <w:t>entities</w:t>
            </w:r>
            <w:r w:rsidRPr="00CB4F2B">
              <w:rPr>
                <w:lang w:val="en-US"/>
              </w:rPr>
              <w:t xml:space="preserve"> intending to use certified reductions for tax compensation must submit a formal request through the online platform. This request must include</w:t>
            </w:r>
            <w:r w:rsidR="00AC484A">
              <w:rPr>
                <w:lang w:val="en-US"/>
              </w:rPr>
              <w:t xml:space="preserve"> t</w:t>
            </w:r>
            <w:r w:rsidRPr="00CB4F2B">
              <w:rPr>
                <w:lang w:val="en-US"/>
              </w:rPr>
              <w:t xml:space="preserve">he establishment where </w:t>
            </w:r>
            <w:r w:rsidR="00AC484A" w:rsidRPr="00CB4F2B">
              <w:rPr>
                <w:lang w:val="en-US"/>
              </w:rPr>
              <w:t>compensation</w:t>
            </w:r>
            <w:r w:rsidRPr="00CB4F2B">
              <w:rPr>
                <w:lang w:val="en-US"/>
              </w:rPr>
              <w:t xml:space="preserve"> applies</w:t>
            </w:r>
            <w:r w:rsidR="00AC484A">
              <w:rPr>
                <w:lang w:val="en-US"/>
              </w:rPr>
              <w:t>, t</w:t>
            </w:r>
            <w:r w:rsidRPr="00CB4F2B">
              <w:rPr>
                <w:lang w:val="en-US"/>
              </w:rPr>
              <w:t>he contaminant being compensated</w:t>
            </w:r>
            <w:r w:rsidR="00AC484A" w:rsidRPr="00AC484A">
              <w:rPr>
                <w:lang w:val="en-US"/>
              </w:rPr>
              <w:t xml:space="preserve"> and t</w:t>
            </w:r>
            <w:r w:rsidRPr="00CB4F2B">
              <w:rPr>
                <w:lang w:val="en-US"/>
              </w:rPr>
              <w:t>he certificates used, including serial codes, names, and titles.</w:t>
            </w:r>
          </w:p>
          <w:p w14:paraId="30D54D96" w14:textId="0C8CE8ED" w:rsidR="00B0479E" w:rsidRPr="00AC484A" w:rsidRDefault="00AC484A" w:rsidP="00AC484A">
            <w:pPr>
              <w:rPr>
                <w:lang w:val="en-US"/>
              </w:rPr>
            </w:pPr>
            <w:r w:rsidRPr="00AC484A">
              <w:rPr>
                <w:lang w:val="en-US"/>
              </w:rPr>
              <w:t>SMA</w:t>
            </w:r>
            <w:r w:rsidR="00CB4F2B" w:rsidRPr="00CB4F2B">
              <w:rPr>
                <w:lang w:val="en-US"/>
              </w:rPr>
              <w:t xml:space="preserve"> will verify the data and deduct the certified reductions from the total annual emissions used to calculate the tax.</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428E7456" w:rsidR="00B0479E" w:rsidRPr="007419D8" w:rsidRDefault="007419D8" w:rsidP="007419D8">
            <w:pPr>
              <w:tabs>
                <w:tab w:val="num" w:pos="720"/>
              </w:tabs>
              <w:rPr>
                <w:lang w:val="en-US"/>
              </w:rPr>
            </w:pPr>
            <w:r w:rsidRPr="007419D8">
              <w:rPr>
                <w:lang w:val="en-US"/>
              </w:rPr>
              <w:t>The policy tool establishes a binding framework regulating the acceptable use of offsets and removals, including</w:t>
            </w:r>
            <w:r>
              <w:rPr>
                <w:lang w:val="en-US"/>
              </w:rPr>
              <w:t xml:space="preserve"> e</w:t>
            </w:r>
            <w:r w:rsidRPr="007419D8">
              <w:rPr>
                <w:lang w:val="en-US"/>
              </w:rPr>
              <w:t>nvironmental integrity criteria,</w:t>
            </w:r>
            <w:r>
              <w:rPr>
                <w:lang w:val="en-US"/>
              </w:rPr>
              <w:t xml:space="preserve"> g</w:t>
            </w:r>
            <w:r w:rsidRPr="007419D8">
              <w:rPr>
                <w:lang w:val="en-US"/>
              </w:rPr>
              <w:t>eographic and temporal limitations,</w:t>
            </w:r>
            <w:r>
              <w:rPr>
                <w:lang w:val="en-US"/>
              </w:rPr>
              <w:t xml:space="preserve"> t</w:t>
            </w:r>
            <w:r w:rsidRPr="007419D8">
              <w:rPr>
                <w:lang w:val="en-US"/>
              </w:rPr>
              <w:t xml:space="preserve">hird-party certification, </w:t>
            </w:r>
            <w:r>
              <w:rPr>
                <w:lang w:val="en-US"/>
              </w:rPr>
              <w:t>p</w:t>
            </w:r>
            <w:r w:rsidRPr="007419D8">
              <w:rPr>
                <w:lang w:val="en-US"/>
              </w:rPr>
              <w:t xml:space="preserve">rohibition of double counting, and </w:t>
            </w:r>
            <w:r>
              <w:rPr>
                <w:lang w:val="en-US"/>
              </w:rPr>
              <w:t>s</w:t>
            </w:r>
            <w:r w:rsidRPr="007419D8">
              <w:rPr>
                <w:lang w:val="en-US"/>
              </w:rPr>
              <w:t>trict eligibility rules for projects.</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3127E773"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62E6E7D0"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4F5809E0"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7F7FC51E"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63B9FB92"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70F4EAA0"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7ED9ED1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096A6E72"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531BB719"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694C0FF3"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260CBD43"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lastRenderedPageBreak/>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51C580F7"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lastRenderedPageBreak/>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20F16477"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lastRenderedPageBreak/>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 xml:space="preserve">scenario </w:t>
            </w:r>
            <w:r w:rsidRPr="00831C3E">
              <w:rPr>
                <w:rFonts w:eastAsia="Times New Roman" w:cstheme="minorHAnsi"/>
                <w:b/>
                <w:color w:val="7030A0"/>
                <w:kern w:val="0"/>
                <w:lang w:eastAsia="en-GB"/>
                <w14:ligatures w14:val="none"/>
              </w:rPr>
              <w:lastRenderedPageBreak/>
              <w:t>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lastRenderedPageBreak/>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lastRenderedPageBreak/>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ABAA575" w:rsidR="00DA416F" w:rsidRPr="00DD3144" w:rsidRDefault="00E064E8"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56A55AA" w:rsidR="00DA416F" w:rsidRPr="00DD3144" w:rsidRDefault="00E064E8"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B6544A2" w:rsidR="00DA416F" w:rsidRPr="00DD3144" w:rsidRDefault="00E064E8"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706C795" w:rsidR="00DA416F" w:rsidRPr="00DD3144" w:rsidRDefault="00E064E8"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831D7B8" w:rsidR="00DA416F" w:rsidRPr="00DD3144" w:rsidRDefault="00E064E8"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B2DB05F" w:rsidR="00DA416F" w:rsidRPr="00DD3144" w:rsidRDefault="00E064E8"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2D3F02D" w:rsidR="00DA416F" w:rsidRPr="00DD3144" w:rsidRDefault="00E064E8"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7B1A2A5" w:rsidR="00DA416F" w:rsidRPr="00DD3144" w:rsidRDefault="00E064E8"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4B98BE7" w:rsidR="00DA416F" w:rsidRPr="00DD3144" w:rsidRDefault="00E064E8"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D38EF56" w:rsidR="00DA416F" w:rsidRPr="00DD3144" w:rsidRDefault="00E064E8"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C42AEF5" w:rsidR="00DA416F" w:rsidRPr="00DD3144" w:rsidRDefault="00E064E8"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53E9217" w:rsidR="00DA416F" w:rsidRPr="00DD3144" w:rsidRDefault="00E064E8"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C77792F" w:rsidR="00DA416F" w:rsidRPr="00DD3144" w:rsidRDefault="00E064E8"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2CEC67D2" w:rsidR="004B1F6B" w:rsidRPr="00DD3144" w:rsidRDefault="00E064E8" w:rsidP="00DD3144">
            <w:pPr>
              <w:keepNext/>
              <w:rPr>
                <w:rFonts w:ascii="Calibri" w:hAnsi="Calibri" w:cs="Calibri"/>
              </w:rPr>
            </w:pPr>
            <w:r w:rsidRPr="00E064E8">
              <w:rPr>
                <w:rFonts w:ascii="Calibri" w:hAnsi="Calibri" w:cs="Calibri"/>
              </w:rPr>
              <w:t>The policy tool is focused on emissions measurement and taxation and does not integrate or reference voluntary international reporting standards or accounting frameworks</w:t>
            </w:r>
            <w:r>
              <w:rPr>
                <w:rFonts w:ascii="Calibri" w:hAnsi="Calibri" w:cs="Calibri"/>
              </w:rPr>
              <w:t>.</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E6664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4B7E81" w:rsidRDefault="004F276F" w:rsidP="00C37D48">
            <w:pPr>
              <w:rPr>
                <w:rFonts w:ascii="Calibri" w:hAnsi="Calibri" w:cs="Calibri"/>
                <w:lang w:val="fr-FR"/>
              </w:rPr>
            </w:pPr>
            <w:r w:rsidRPr="004B7E81">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4B7E81" w:rsidRDefault="004F276F" w:rsidP="00C37D48">
            <w:pPr>
              <w:rPr>
                <w:rFonts w:ascii="Calibri" w:hAnsi="Calibri" w:cs="Calibri"/>
                <w:lang w:val="fr-FR"/>
              </w:rPr>
            </w:pPr>
          </w:p>
        </w:tc>
      </w:tr>
      <w:tr w:rsidR="004F276F" w:rsidRPr="00E6664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E66643"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4B7E81" w:rsidRDefault="003A2E5E" w:rsidP="00C37D48">
            <w:pPr>
              <w:rPr>
                <w:rFonts w:ascii="Calibri" w:hAnsi="Calibri" w:cs="Calibri"/>
                <w:lang w:val="fr-FR"/>
              </w:rPr>
            </w:pPr>
            <w:r w:rsidRPr="004B7E81">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4B7E81"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E6664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4B7E81" w:rsidRDefault="00C66EE0" w:rsidP="00610F28">
            <w:pPr>
              <w:rPr>
                <w:rFonts w:ascii="Calibri" w:hAnsi="Calibri" w:cs="Calibri"/>
                <w:lang w:val="fr-FR"/>
              </w:rPr>
            </w:pPr>
            <w:r w:rsidRPr="004B7E81">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4B7E81" w:rsidRDefault="00C66EE0" w:rsidP="00610F28">
            <w:pPr>
              <w:rPr>
                <w:rFonts w:ascii="Calibri" w:hAnsi="Calibri" w:cs="Calibri"/>
                <w:lang w:val="fr-FR"/>
              </w:rPr>
            </w:pPr>
          </w:p>
        </w:tc>
      </w:tr>
      <w:tr w:rsidR="00241257" w:rsidRPr="00E6664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2A237E97" w:rsidR="00D4323A" w:rsidRPr="00CF2E7C" w:rsidRDefault="009E3B00"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2EBC2F16" w:rsidR="00D4323A" w:rsidRPr="00CF2E7C" w:rsidRDefault="009E3B00"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58EE9A4"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C08B82F" w:rsidR="00D4323A" w:rsidRPr="00CF2E7C" w:rsidRDefault="0096759E"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07918E54" w:rsidR="00D4323A" w:rsidRPr="00CF2E7C" w:rsidRDefault="009E3B00"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60DEF6C" w:rsidR="00D4323A" w:rsidRPr="00CF2E7C" w:rsidRDefault="009E3B00"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0FA70A4F" w:rsidR="00D4323A" w:rsidRPr="00CF2E7C" w:rsidRDefault="009E3B00"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29339555"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AF4AD14" w:rsidR="00D4323A" w:rsidRPr="00CF2E7C" w:rsidRDefault="009E3B00"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57A0B1E1" w:rsidR="00D4323A" w:rsidRPr="00CF2E7C" w:rsidRDefault="009E3B00"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4AD4E7DE" w:rsidR="00D4323A" w:rsidRPr="00CF2E7C" w:rsidRDefault="009E3B00"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64D01566" w:rsidR="00D4323A" w:rsidRPr="00CF2E7C" w:rsidRDefault="009E3B00"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1DD1DD86" w:rsidR="00D4323A" w:rsidRPr="00CF2E7C" w:rsidRDefault="009E3B00"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6E0E6B9"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2D003547" w:rsidR="00D4323A" w:rsidRPr="00CF2E7C" w:rsidRDefault="0096759E"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286F36BB" w:rsidR="00092534" w:rsidRPr="009339C1" w:rsidRDefault="009339C1" w:rsidP="00CF2E7C">
            <w:pPr>
              <w:rPr>
                <w:rFonts w:ascii="Calibri" w:hAnsi="Calibri" w:cs="Calibri"/>
              </w:rPr>
            </w:pPr>
            <w:r>
              <w:rPr>
                <w:rFonts w:ascii="Calibri" w:hAnsi="Calibri" w:cs="Calibri"/>
              </w:rPr>
              <w:t>T</w:t>
            </w:r>
            <w:r w:rsidRPr="009339C1">
              <w:rPr>
                <w:rFonts w:ascii="Calibri" w:hAnsi="Calibri" w:cs="Calibri"/>
              </w:rPr>
              <w:t>he policy tool does not target entities by sector. Compliance is based solely on whether an establishment emits 100 or more tons/year of MP or 25,000 or more tons/year of CO₂, regardless of the sector involved.</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E6664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4B7E81" w:rsidRDefault="00092534" w:rsidP="00CF2E7C">
            <w:pPr>
              <w:rPr>
                <w:rFonts w:ascii="Calibri" w:hAnsi="Calibri" w:cs="Calibri"/>
                <w:lang w:val="fr-FR"/>
              </w:rPr>
            </w:pPr>
            <w:r w:rsidRPr="004B7E81">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4B7E81" w:rsidRDefault="00092534" w:rsidP="00CF2E7C">
            <w:pPr>
              <w:rPr>
                <w:rFonts w:ascii="Calibri" w:hAnsi="Calibri" w:cs="Calibri"/>
                <w:lang w:val="fr-FR"/>
              </w:rPr>
            </w:pPr>
          </w:p>
        </w:tc>
      </w:tr>
      <w:tr w:rsidR="00092534" w:rsidRPr="00E6664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0DD3D827" w14:textId="77777777" w:rsidR="009339C1" w:rsidRPr="009339C1" w:rsidRDefault="009339C1" w:rsidP="009339C1">
            <w:pPr>
              <w:rPr>
                <w:rFonts w:ascii="Calibri" w:hAnsi="Calibri" w:cs="Calibri"/>
              </w:rPr>
            </w:pPr>
            <w:r w:rsidRPr="009339C1">
              <w:rPr>
                <w:rFonts w:ascii="Calibri" w:hAnsi="Calibri" w:cs="Calibri"/>
              </w:rPr>
              <w:t>Compliance is mandatory for any entity (natural or legal person) operating an establishment whose sources emit:</w:t>
            </w:r>
          </w:p>
          <w:p w14:paraId="1318188D" w14:textId="77777777" w:rsidR="009339C1" w:rsidRPr="009339C1" w:rsidRDefault="009339C1" w:rsidP="009339C1">
            <w:pPr>
              <w:rPr>
                <w:rFonts w:ascii="Calibri" w:hAnsi="Calibri" w:cs="Calibri"/>
              </w:rPr>
            </w:pPr>
            <w:r w:rsidRPr="009339C1">
              <w:rPr>
                <w:rFonts w:ascii="Calibri" w:hAnsi="Calibri" w:cs="Calibri"/>
              </w:rPr>
              <w:t>- 100 or more tons per year of MP, or</w:t>
            </w:r>
            <w:r w:rsidRPr="009339C1">
              <w:rPr>
                <w:rFonts w:ascii="Calibri" w:hAnsi="Calibri" w:cs="Calibri"/>
              </w:rPr>
              <w:tab/>
            </w:r>
          </w:p>
          <w:p w14:paraId="3B9810F8" w14:textId="1E729E89" w:rsidR="00092534" w:rsidRPr="00CF2E7C" w:rsidRDefault="009339C1" w:rsidP="009339C1">
            <w:pPr>
              <w:rPr>
                <w:rFonts w:ascii="Calibri" w:hAnsi="Calibri" w:cs="Calibri"/>
              </w:rPr>
            </w:pPr>
            <w:r w:rsidRPr="009339C1">
              <w:rPr>
                <w:rFonts w:ascii="Calibri" w:hAnsi="Calibri" w:cs="Calibri"/>
              </w:rPr>
              <w:t>- 25,000 or more tons per year of CO₂</w:t>
            </w:r>
            <w:r w:rsidRPr="009339C1">
              <w:rPr>
                <w:rFonts w:ascii="Calibri" w:hAnsi="Calibri" w:cs="Calibri"/>
              </w:rPr>
              <w:tab/>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FD3B8C9" w:rsidR="00092534" w:rsidRPr="00CF2E7C" w:rsidRDefault="009339C1"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374B53ED" w:rsidR="00DB1E72" w:rsidRPr="00CF2E7C" w:rsidRDefault="007574B6"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1A555B62" w:rsidR="00DB1E72" w:rsidRPr="00CF2E7C" w:rsidRDefault="007574B6"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lastRenderedPageBreak/>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579F7F1D"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DCB74D6" w14:textId="77777777" w:rsidR="007574B6" w:rsidRPr="007574B6" w:rsidRDefault="007574B6" w:rsidP="007574B6">
            <w:pPr>
              <w:rPr>
                <w:rFonts w:ascii="Calibri" w:hAnsi="Calibri" w:cs="Calibri"/>
                <w:lang w:val="en-US"/>
              </w:rPr>
            </w:pPr>
            <w:r w:rsidRPr="007574B6">
              <w:rPr>
                <w:rFonts w:ascii="Calibri" w:hAnsi="Calibri" w:cs="Calibri"/>
                <w:lang w:val="en-US"/>
              </w:rPr>
              <w:t>Failure to pay the emissions tax on time is sanctioned according to Article 97 No. 11 of the Chilean Tax Code, as expressly referenced in Article 8 of Law No. 20.780</w:t>
            </w:r>
          </w:p>
          <w:p w14:paraId="7CC5C002" w14:textId="4D3697E9" w:rsidR="00DB1E72" w:rsidRPr="007574B6" w:rsidRDefault="007574B6" w:rsidP="007574B6">
            <w:pPr>
              <w:tabs>
                <w:tab w:val="num" w:pos="720"/>
              </w:tabs>
              <w:rPr>
                <w:rFonts w:ascii="Calibri" w:hAnsi="Calibri" w:cs="Calibri"/>
                <w:lang w:val="en-US"/>
              </w:rPr>
            </w:pPr>
            <w:r w:rsidRPr="007574B6">
              <w:rPr>
                <w:rFonts w:ascii="Calibri" w:hAnsi="Calibri" w:cs="Calibri"/>
                <w:lang w:val="en-US"/>
              </w:rPr>
              <w:t>Entities that fail to submit emissions reports or do so incorrectly are subject to environmental administrative sanctions by the SMA, as established under its Organic Law (Law No. 20.417) and referenced in Article 8. These sanctions may include written warnings, monetary fines, revocation of environmental permits, or closure of the establishment.</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5BC5F3B" w:rsidR="00092534" w:rsidRPr="00CF2E7C" w:rsidRDefault="008C31BA"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23A6ABAD" w:rsidR="00092534" w:rsidRPr="00CF2E7C" w:rsidRDefault="008C31BA" w:rsidP="00CF2E7C">
            <w:pPr>
              <w:rPr>
                <w:rFonts w:ascii="Calibri" w:hAnsi="Calibri" w:cs="Calibri"/>
              </w:rPr>
            </w:pPr>
            <w:r>
              <w:rPr>
                <w:rFonts w:ascii="Calibri" w:hAnsi="Calibri" w:cs="Calibri"/>
              </w:rPr>
              <w:t>As address before</w:t>
            </w:r>
            <w:r w:rsidRPr="008C31BA">
              <w:rPr>
                <w:rFonts w:ascii="Calibri" w:hAnsi="Calibri" w:cs="Calibri"/>
              </w:rPr>
              <w:t>, the SMA initiated sanctioning procedures against two companies</w:t>
            </w:r>
            <w:r>
              <w:rPr>
                <w:rFonts w:ascii="Calibri" w:hAnsi="Calibri" w:cs="Calibri"/>
              </w:rPr>
              <w:t xml:space="preserve"> (</w:t>
            </w:r>
            <w:r w:rsidRPr="008C31BA">
              <w:rPr>
                <w:rFonts w:ascii="Calibri" w:hAnsi="Calibri" w:cs="Calibri"/>
              </w:rPr>
              <w:t>Energía León S.A. and Tulsa S.A.</w:t>
            </w:r>
            <w:r>
              <w:rPr>
                <w:rFonts w:ascii="Calibri" w:hAnsi="Calibri" w:cs="Calibri"/>
              </w:rPr>
              <w:t xml:space="preserve">) </w:t>
            </w:r>
            <w:r w:rsidRPr="008C31BA">
              <w:rPr>
                <w:rFonts w:ascii="Calibri" w:hAnsi="Calibri" w:cs="Calibri"/>
              </w:rPr>
              <w:t>for failing to report emissions as required under the Green Tax framework</w:t>
            </w:r>
            <w:r w:rsidR="00DD1C95">
              <w:rPr>
                <w:rFonts w:ascii="Calibri" w:hAnsi="Calibri" w:cs="Calibri"/>
              </w:rPr>
              <w:t xml:space="preserve">, </w:t>
            </w:r>
            <w:r w:rsidR="00DD1C95" w:rsidRPr="00DD1C95">
              <w:rPr>
                <w:rFonts w:ascii="Calibri" w:hAnsi="Calibri" w:cs="Calibri"/>
              </w:rPr>
              <w:t>a prerequisite for determining tax liability and, where applicable, the use of carbon credits to compensate emissions.</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22CDFDA" w:rsidR="00092534" w:rsidRPr="00CF2E7C" w:rsidRDefault="00DD1C95"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A079E42" w:rsidR="00D46B07" w:rsidRPr="00CF2E7C" w:rsidRDefault="00720B0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14F1788" w:rsidR="00D46B07" w:rsidRPr="00CF2E7C" w:rsidRDefault="00720B0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79D141C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B78BB">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BD501A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B78BB">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5AD2A79"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4B78BB">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F4356D3" w:rsidR="00D46B07" w:rsidRPr="00CF2E7C" w:rsidRDefault="004B78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01F0FD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B78B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2B03A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B78BB">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DB290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B78BB">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666CC48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B78BB">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5BB6E9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B78BB">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FF6C4C" w:rsidRDefault="00702413" w:rsidP="00CF2E7C">
            <w:pPr>
              <w:textAlignment w:val="baseline"/>
              <w:rPr>
                <w:rFonts w:ascii="Calibri" w:eastAsia="Times New Roman" w:hAnsi="Calibri" w:cs="Calibri"/>
                <w:kern w:val="0"/>
                <w:lang w:eastAsia="en-GB"/>
                <w14:ligatures w14:val="none"/>
              </w:rPr>
            </w:pPr>
            <w:r w:rsidRPr="00FF6C4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382DD7" w14:textId="404C7448" w:rsidR="00FF6C4C" w:rsidRDefault="00702413" w:rsidP="00FF6C4C">
            <w:pPr>
              <w:textAlignment w:val="baseline"/>
              <w:rPr>
                <w:rFonts w:ascii="Calibri" w:eastAsia="Times New Roman" w:hAnsi="Calibri" w:cs="Calibri"/>
                <w:kern w:val="0"/>
                <w:lang w:eastAsia="en-GB"/>
                <w14:ligatures w14:val="none"/>
              </w:rPr>
            </w:pPr>
            <w:r w:rsidRPr="00FF6C4C">
              <w:rPr>
                <w:rFonts w:ascii="Calibri" w:eastAsia="Times New Roman" w:hAnsi="Calibri" w:cs="Calibri"/>
                <w:kern w:val="0"/>
                <w:lang w:eastAsia="en-GB"/>
                <w14:ligatures w14:val="none"/>
              </w:rPr>
              <w:t> </w:t>
            </w:r>
            <w:r w:rsidR="00FF6C4C" w:rsidRPr="00FF6C4C">
              <w:rPr>
                <w:rFonts w:ascii="Calibri" w:eastAsia="Times New Roman" w:hAnsi="Calibri" w:cs="Calibri"/>
                <w:kern w:val="0"/>
                <w:lang w:val="en-US" w:eastAsia="en-GB"/>
                <w14:ligatures w14:val="none"/>
              </w:rPr>
              <w:t>The policy tool requires the use of a national public registry to track the approval, certification, verification, and use of emission reductions (carbon credits) applied under the Green Tax framework</w:t>
            </w:r>
            <w:r w:rsidR="00FF6C4C">
              <w:rPr>
                <w:rFonts w:ascii="Calibri" w:eastAsia="Times New Roman" w:hAnsi="Calibri" w:cs="Calibri"/>
                <w:kern w:val="0"/>
                <w:lang w:val="en-US" w:eastAsia="en-GB"/>
                <w14:ligatures w14:val="none"/>
              </w:rPr>
              <w:t xml:space="preserve">, the </w:t>
            </w:r>
            <w:r w:rsidR="00FF6C4C" w:rsidRPr="00FF6C4C">
              <w:rPr>
                <w:rFonts w:ascii="Calibri" w:eastAsia="Times New Roman" w:hAnsi="Calibri" w:cs="Calibri"/>
                <w:kern w:val="0"/>
                <w:lang w:eastAsia="en-GB"/>
                <w14:ligatures w14:val="none"/>
              </w:rPr>
              <w:t>National Registry of Emission Reduction Projects</w:t>
            </w:r>
            <w:r w:rsidR="00FF6C4C">
              <w:rPr>
                <w:rFonts w:ascii="Calibri" w:eastAsia="Times New Roman" w:hAnsi="Calibri" w:cs="Calibri"/>
                <w:kern w:val="0"/>
                <w:lang w:eastAsia="en-GB"/>
                <w14:ligatures w14:val="none"/>
              </w:rPr>
              <w:t>, regulated in Article 32 of Decree No. 4 of 2023.</w:t>
            </w:r>
          </w:p>
          <w:p w14:paraId="51B21E2B" w14:textId="2867CC95" w:rsidR="00BF64D5" w:rsidRPr="00FF6C4C" w:rsidRDefault="00091811" w:rsidP="00FF6C4C">
            <w:pPr>
              <w:textAlignment w:val="baseline"/>
              <w:rPr>
                <w:rFonts w:ascii="Calibri" w:eastAsia="Times New Roman" w:hAnsi="Calibri" w:cs="Calibri"/>
                <w:kern w:val="0"/>
                <w:lang w:val="en-US" w:eastAsia="en-GB"/>
                <w14:ligatures w14:val="none"/>
              </w:rPr>
            </w:pPr>
            <w:hyperlink r:id="rId20" w:history="1">
              <w:r w:rsidRPr="00430556">
                <w:rPr>
                  <w:rStyle w:val="Hipervnculo"/>
                  <w:rFonts w:ascii="Calibri" w:eastAsia="Times New Roman" w:hAnsi="Calibri" w:cs="Calibri"/>
                  <w:kern w:val="0"/>
                  <w:lang w:val="en-US" w:eastAsia="en-GB"/>
                  <w14:ligatures w14:val="none"/>
                </w:rPr>
                <w:t>https://web.archive.org/save/https://sisat.sma.gob.cl/compensacion/publico/registro</w:t>
              </w:r>
            </w:hyperlink>
            <w:r>
              <w:rPr>
                <w:rFonts w:ascii="Calibri" w:eastAsia="Times New Roman" w:hAnsi="Calibri" w:cs="Calibri"/>
                <w:kern w:val="0"/>
                <w:lang w:val="en-US" w:eastAsia="en-GB"/>
                <w14:ligatures w14:val="none"/>
              </w:rPr>
              <w:t xml:space="preserve"> </w:t>
            </w:r>
          </w:p>
          <w:p w14:paraId="38C2165D" w14:textId="7743647F" w:rsidR="00702413" w:rsidRPr="00FF6C4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5955B9A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8BF7FCD" w:rsidR="00343937" w:rsidRPr="00CF2E7C" w:rsidRDefault="00BC4B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31D4D2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5EC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4CA0C09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5EC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4E09BF8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5EC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7060B0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5EC5">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DE26C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5EC5">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2273E89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5EC5">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9634D" w14:textId="723BF759" w:rsidR="00681252" w:rsidRDefault="0027682F" w:rsidP="00681252">
            <w:pPr>
              <w:textAlignment w:val="baseline"/>
              <w:rPr>
                <w:rFonts w:ascii="Calibri" w:eastAsia="Times New Roman" w:hAnsi="Calibri" w:cs="Calibri"/>
                <w:kern w:val="0"/>
                <w:lang w:eastAsia="en-GB"/>
                <w14:ligatures w14:val="none"/>
              </w:rPr>
            </w:pPr>
            <w:r w:rsidRPr="0027682F">
              <w:rPr>
                <w:rFonts w:ascii="Calibri" w:eastAsia="Times New Roman" w:hAnsi="Calibri" w:cs="Calibri"/>
                <w:kern w:val="0"/>
                <w:lang w:val="en-US" w:eastAsia="en-GB"/>
                <w14:ligatures w14:val="none"/>
              </w:rPr>
              <w:t>Article 31 of Decree No. 4</w:t>
            </w:r>
            <w:r w:rsidR="00767CB8">
              <w:rPr>
                <w:rFonts w:ascii="Calibri" w:eastAsia="Times New Roman" w:hAnsi="Calibri" w:cs="Calibri"/>
                <w:kern w:val="0"/>
                <w:lang w:val="en-US" w:eastAsia="en-GB"/>
                <w14:ligatures w14:val="none"/>
              </w:rPr>
              <w:t xml:space="preserve"> of </w:t>
            </w:r>
            <w:r w:rsidRPr="0027682F">
              <w:rPr>
                <w:rFonts w:ascii="Calibri" w:eastAsia="Times New Roman" w:hAnsi="Calibri" w:cs="Calibri"/>
                <w:kern w:val="0"/>
                <w:lang w:val="en-US" w:eastAsia="en-GB"/>
                <w14:ligatures w14:val="none"/>
              </w:rPr>
              <w:t>2023</w:t>
            </w:r>
            <w:r>
              <w:rPr>
                <w:rFonts w:ascii="Calibri" w:eastAsia="Times New Roman" w:hAnsi="Calibri" w:cs="Calibri"/>
                <w:kern w:val="0"/>
                <w:lang w:val="en-US" w:eastAsia="en-GB"/>
                <w14:ligatures w14:val="none"/>
              </w:rPr>
              <w:t xml:space="preserve"> </w:t>
            </w:r>
            <w:r w:rsidR="00767CB8" w:rsidRPr="0027682F">
              <w:rPr>
                <w:rFonts w:ascii="Calibri" w:eastAsia="Times New Roman" w:hAnsi="Calibri" w:cs="Calibri"/>
                <w:kern w:val="0"/>
                <w:lang w:eastAsia="en-GB"/>
                <w14:ligatures w14:val="none"/>
              </w:rPr>
              <w:t>prohibits</w:t>
            </w:r>
            <w:r w:rsidRPr="0027682F">
              <w:rPr>
                <w:rFonts w:ascii="Calibri" w:eastAsia="Times New Roman" w:hAnsi="Calibri" w:cs="Calibri"/>
                <w:kern w:val="0"/>
                <w:lang w:eastAsia="en-GB"/>
                <w14:ligatures w14:val="none"/>
              </w:rPr>
              <w:t xml:space="preserve"> double use of any emissions reduction for both voluntary and legal compliance purposes.</w:t>
            </w:r>
            <w:r w:rsidR="00681252">
              <w:rPr>
                <w:rFonts w:ascii="Calibri" w:eastAsia="Times New Roman" w:hAnsi="Calibri" w:cs="Calibri"/>
                <w:kern w:val="0"/>
                <w:lang w:eastAsia="en-GB"/>
                <w14:ligatures w14:val="none"/>
              </w:rPr>
              <w:t xml:space="preserve"> </w:t>
            </w:r>
          </w:p>
          <w:p w14:paraId="6F42B69E" w14:textId="2F3ADB87" w:rsidR="0027682F" w:rsidRDefault="00681252" w:rsidP="00767CB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Also, according to Articles 28, 30 and 32 of the Decree, </w:t>
            </w:r>
            <w:r w:rsidR="00767CB8">
              <w:rPr>
                <w:rFonts w:ascii="Calibri" w:eastAsia="Times New Roman" w:hAnsi="Calibri" w:cs="Calibri"/>
                <w:kern w:val="0"/>
                <w:lang w:eastAsia="en-GB"/>
                <w14:ligatures w14:val="none"/>
              </w:rPr>
              <w:t>there is a m</w:t>
            </w:r>
            <w:r w:rsidR="00767CB8" w:rsidRPr="00767CB8">
              <w:rPr>
                <w:rFonts w:ascii="Calibri" w:eastAsia="Times New Roman" w:hAnsi="Calibri" w:cs="Calibri"/>
                <w:kern w:val="0"/>
                <w:lang w:eastAsia="en-GB"/>
                <w14:ligatures w14:val="none"/>
              </w:rPr>
              <w:t xml:space="preserve">andatory </w:t>
            </w:r>
            <w:r w:rsidR="00767CB8">
              <w:rPr>
                <w:rFonts w:ascii="Calibri" w:eastAsia="Times New Roman" w:hAnsi="Calibri" w:cs="Calibri"/>
                <w:kern w:val="0"/>
                <w:lang w:eastAsia="en-GB"/>
                <w14:ligatures w14:val="none"/>
              </w:rPr>
              <w:t>c</w:t>
            </w:r>
            <w:r w:rsidR="00767CB8" w:rsidRPr="00767CB8">
              <w:rPr>
                <w:rFonts w:ascii="Calibri" w:eastAsia="Times New Roman" w:hAnsi="Calibri" w:cs="Calibri"/>
                <w:kern w:val="0"/>
                <w:lang w:eastAsia="en-GB"/>
                <w14:ligatures w14:val="none"/>
              </w:rPr>
              <w:t xml:space="preserve">ancellation and </w:t>
            </w:r>
            <w:r w:rsidR="00767CB8">
              <w:rPr>
                <w:rFonts w:ascii="Calibri" w:eastAsia="Times New Roman" w:hAnsi="Calibri" w:cs="Calibri"/>
                <w:kern w:val="0"/>
                <w:lang w:eastAsia="en-GB"/>
                <w14:ligatures w14:val="none"/>
              </w:rPr>
              <w:t>r</w:t>
            </w:r>
            <w:r w:rsidR="00767CB8" w:rsidRPr="00767CB8">
              <w:rPr>
                <w:rFonts w:ascii="Calibri" w:eastAsia="Times New Roman" w:hAnsi="Calibri" w:cs="Calibri"/>
                <w:kern w:val="0"/>
                <w:lang w:eastAsia="en-GB"/>
                <w14:ligatures w14:val="none"/>
              </w:rPr>
              <w:t xml:space="preserve">egistry </w:t>
            </w:r>
            <w:r w:rsidR="00767CB8">
              <w:rPr>
                <w:rFonts w:ascii="Calibri" w:eastAsia="Times New Roman" w:hAnsi="Calibri" w:cs="Calibri"/>
                <w:kern w:val="0"/>
                <w:lang w:eastAsia="en-GB"/>
                <w14:ligatures w14:val="none"/>
              </w:rPr>
              <w:t>c</w:t>
            </w:r>
            <w:r w:rsidR="00767CB8" w:rsidRPr="00767CB8">
              <w:rPr>
                <w:rFonts w:ascii="Calibri" w:eastAsia="Times New Roman" w:hAnsi="Calibri" w:cs="Calibri"/>
                <w:kern w:val="0"/>
                <w:lang w:eastAsia="en-GB"/>
                <w14:ligatures w14:val="none"/>
              </w:rPr>
              <w:t>ontrol</w:t>
            </w:r>
            <w:r w:rsidR="00767CB8">
              <w:rPr>
                <w:rFonts w:ascii="Calibri" w:eastAsia="Times New Roman" w:hAnsi="Calibri" w:cs="Calibri"/>
                <w:kern w:val="0"/>
                <w:lang w:eastAsia="en-GB"/>
                <w14:ligatures w14:val="none"/>
              </w:rPr>
              <w:t>.</w:t>
            </w:r>
          </w:p>
          <w:p w14:paraId="4878BF58" w14:textId="30CBE7A5" w:rsidR="00343937" w:rsidRPr="00CF2E7C" w:rsidRDefault="00767CB8" w:rsidP="00767CB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Finally, there are f</w:t>
            </w:r>
            <w:r w:rsidR="0027682F" w:rsidRPr="0027682F">
              <w:rPr>
                <w:rFonts w:ascii="Calibri" w:eastAsia="Times New Roman" w:hAnsi="Calibri" w:cs="Calibri"/>
                <w:kern w:val="0"/>
                <w:lang w:eastAsia="en-GB"/>
                <w14:ligatures w14:val="none"/>
              </w:rPr>
              <w:t xml:space="preserve">unctional </w:t>
            </w:r>
            <w:r>
              <w:rPr>
                <w:rFonts w:ascii="Calibri" w:eastAsia="Times New Roman" w:hAnsi="Calibri" w:cs="Calibri"/>
                <w:kern w:val="0"/>
                <w:lang w:eastAsia="en-GB"/>
                <w14:ligatures w14:val="none"/>
              </w:rPr>
              <w:t>s</w:t>
            </w:r>
            <w:r w:rsidR="0027682F" w:rsidRPr="0027682F">
              <w:rPr>
                <w:rFonts w:ascii="Calibri" w:eastAsia="Times New Roman" w:hAnsi="Calibri" w:cs="Calibri"/>
                <w:kern w:val="0"/>
                <w:lang w:eastAsia="en-GB"/>
                <w14:ligatures w14:val="none"/>
              </w:rPr>
              <w:t xml:space="preserve">afeguards in </w:t>
            </w:r>
            <w:r>
              <w:rPr>
                <w:rFonts w:ascii="Calibri" w:eastAsia="Times New Roman" w:hAnsi="Calibri" w:cs="Calibri"/>
                <w:kern w:val="0"/>
                <w:lang w:eastAsia="en-GB"/>
                <w14:ligatures w14:val="none"/>
              </w:rPr>
              <w:t>r</w:t>
            </w:r>
            <w:r w:rsidR="0027682F" w:rsidRPr="0027682F">
              <w:rPr>
                <w:rFonts w:ascii="Calibri" w:eastAsia="Times New Roman" w:hAnsi="Calibri" w:cs="Calibri"/>
                <w:kern w:val="0"/>
                <w:lang w:eastAsia="en-GB"/>
                <w14:ligatures w14:val="none"/>
              </w:rPr>
              <w:t xml:space="preserve">egistry </w:t>
            </w:r>
            <w:r>
              <w:rPr>
                <w:rFonts w:ascii="Calibri" w:eastAsia="Times New Roman" w:hAnsi="Calibri" w:cs="Calibri"/>
                <w:kern w:val="0"/>
                <w:lang w:eastAsia="en-GB"/>
                <w14:ligatures w14:val="none"/>
              </w:rPr>
              <w:t>d</w:t>
            </w:r>
            <w:r w:rsidR="0027682F" w:rsidRPr="0027682F">
              <w:rPr>
                <w:rFonts w:ascii="Calibri" w:eastAsia="Times New Roman" w:hAnsi="Calibri" w:cs="Calibri"/>
                <w:kern w:val="0"/>
                <w:lang w:eastAsia="en-GB"/>
                <w14:ligatures w14:val="none"/>
              </w:rPr>
              <w:t>esign</w:t>
            </w:r>
            <w:r>
              <w:rPr>
                <w:rFonts w:ascii="Calibri" w:eastAsia="Times New Roman" w:hAnsi="Calibri" w:cs="Calibri"/>
                <w:kern w:val="0"/>
                <w:lang w:eastAsia="en-GB"/>
                <w14:ligatures w14:val="none"/>
              </w:rPr>
              <w:t xml:space="preserve"> according to Article 32 of the Decree.</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7B0DF4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4590">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17715A1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4590">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299F4E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4590">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6A3B338" w:rsidR="000A6F11" w:rsidRPr="00CF2E7C" w:rsidRDefault="00DA45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284BF4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4FF5">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04F222A4" w:rsidR="00702413" w:rsidRPr="00CF2E7C" w:rsidRDefault="00BA4F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702413" w:rsidRPr="00CF2E7C">
              <w:rPr>
                <w:rFonts w:ascii="Calibri" w:eastAsia="Times New Roman" w:hAnsi="Calibri" w:cs="Calibri"/>
                <w:kern w:val="0"/>
                <w:lang w:eastAsia="en-GB"/>
                <w14:ligatures w14:val="none"/>
              </w:rPr>
              <w:t> </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5827976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BA4FF5">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01E7987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4FF5">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2CCFFA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4FF5">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41DBE6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4FF5">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2C2EFD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4FF5">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21C118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4FF5">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07CF4B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4FF5">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61ADD41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A4FF5">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25D80A7D" w:rsidR="00047A9C" w:rsidRPr="00CF2E7C" w:rsidRDefault="00D2272E" w:rsidP="00CF2E7C">
            <w:pPr>
              <w:textAlignment w:val="baseline"/>
              <w:rPr>
                <w:rFonts w:ascii="Calibri" w:eastAsia="Times New Roman" w:hAnsi="Calibri" w:cs="Calibri"/>
                <w:kern w:val="0"/>
                <w:lang w:eastAsia="en-GB"/>
                <w14:ligatures w14:val="none"/>
              </w:rPr>
            </w:pPr>
            <w:r w:rsidRPr="00D2272E">
              <w:rPr>
                <w:rFonts w:ascii="Calibri" w:eastAsia="Times New Roman" w:hAnsi="Calibri" w:cs="Calibri"/>
                <w:kern w:val="0"/>
                <w:lang w:eastAsia="en-GB"/>
                <w14:ligatures w14:val="none"/>
              </w:rPr>
              <w:t>The policy tool sets mandatory requirements regarding third-party certification of carbon credits, which are detailed in Decree No. 4</w:t>
            </w:r>
            <w:r>
              <w:rPr>
                <w:rFonts w:ascii="Calibri" w:eastAsia="Times New Roman" w:hAnsi="Calibri" w:cs="Calibri"/>
                <w:kern w:val="0"/>
                <w:lang w:eastAsia="en-GB"/>
                <w14:ligatures w14:val="none"/>
              </w:rPr>
              <w:t xml:space="preserve"> of </w:t>
            </w:r>
            <w:r w:rsidRPr="00D2272E">
              <w:rPr>
                <w:rFonts w:ascii="Calibri" w:eastAsia="Times New Roman" w:hAnsi="Calibri" w:cs="Calibri"/>
                <w:kern w:val="0"/>
                <w:lang w:eastAsia="en-GB"/>
                <w14:ligatures w14:val="none"/>
              </w:rPr>
              <w:t>2023, under Title V and Title VIII. These provisions establish who may act as certifiers, how they must be qualified, and how conflicts of interest are prevented.</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35C4EB0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20EB">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5E795A3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20EB">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086AE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20EB">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9DA5E6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20EB">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49653EF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20E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2568AF4" w14:textId="63FFEF93" w:rsidR="006A20EB" w:rsidRPr="006A20EB" w:rsidRDefault="006A20EB" w:rsidP="006A20EB">
            <w:pPr>
              <w:textAlignment w:val="baseline"/>
              <w:rPr>
                <w:rFonts w:ascii="Calibri" w:eastAsia="Times New Roman" w:hAnsi="Calibri" w:cs="Calibri"/>
                <w:kern w:val="0"/>
                <w:lang w:val="en-US" w:eastAsia="en-GB"/>
                <w14:ligatures w14:val="none"/>
              </w:rPr>
            </w:pPr>
            <w:r w:rsidRPr="006A20EB">
              <w:rPr>
                <w:rFonts w:ascii="Calibri" w:eastAsia="Times New Roman" w:hAnsi="Calibri" w:cs="Calibri"/>
                <w:kern w:val="0"/>
                <w:lang w:val="en-US" w:eastAsia="en-GB"/>
                <w14:ligatures w14:val="none"/>
              </w:rPr>
              <w:t>The principle of additionality is a required criterion for all emission reductions used to compensate the Green Tax under Article 8 of Law No. 20.780, as implemented by Decree No. 4/2023.</w:t>
            </w:r>
            <w:r w:rsidR="00C85FE9">
              <w:rPr>
                <w:rFonts w:ascii="Calibri" w:eastAsia="Times New Roman" w:hAnsi="Calibri" w:cs="Calibri"/>
                <w:kern w:val="0"/>
                <w:lang w:val="en-US" w:eastAsia="en-GB"/>
                <w14:ligatures w14:val="none"/>
              </w:rPr>
              <w:t xml:space="preserve"> See, also, Article 4 of the Decree. </w:t>
            </w:r>
          </w:p>
          <w:p w14:paraId="29357060" w14:textId="2D1DA4F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lastRenderedPageBreak/>
              <w:t>[</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4D874E1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27B5F">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5ACB5CC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27B5F">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46B4619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27B5F">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BCB2369" w:rsidR="00047A9C" w:rsidRPr="00E6410C" w:rsidRDefault="00E6410C" w:rsidP="00CF2E7C">
            <w:pPr>
              <w:textAlignment w:val="baseline"/>
              <w:rPr>
                <w:rFonts w:ascii="Calibri" w:eastAsia="Times New Roman" w:hAnsi="Calibri" w:cs="Calibri"/>
                <w:kern w:val="0"/>
                <w:lang w:eastAsia="en-GB"/>
                <w14:ligatures w14:val="none"/>
              </w:rPr>
            </w:pPr>
            <w:r w:rsidRPr="00E6410C">
              <w:rPr>
                <w:rFonts w:ascii="Calibri" w:eastAsia="Times New Roman" w:hAnsi="Calibri" w:cs="Calibri"/>
                <w:kern w:val="0"/>
                <w:lang w:eastAsia="en-GB"/>
                <w14:ligatures w14:val="none"/>
              </w:rPr>
              <w:t>The principle of permanence is explicitly required in the policy tool but without specifying a minimum number of years for which emissions reductions or removals must remain sequestered.</w:t>
            </w:r>
            <w:r>
              <w:rPr>
                <w:rFonts w:ascii="Calibri" w:eastAsia="Times New Roman" w:hAnsi="Calibri" w:cs="Calibri"/>
                <w:kern w:val="0"/>
                <w:lang w:eastAsia="en-GB"/>
                <w14:ligatures w14:val="none"/>
              </w:rPr>
              <w:t xml:space="preserve"> See Article 4 of the Decree.</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7EE4D3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7C33">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C15D03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7C33">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BE08FA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7C33">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60F4388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7C33">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1428C59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7C33">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10B646F7" w:rsidR="00047A9C" w:rsidRPr="00E865CE" w:rsidRDefault="00E865CE" w:rsidP="00CF2E7C">
            <w:pPr>
              <w:textAlignment w:val="baseline"/>
              <w:rPr>
                <w:rFonts w:ascii="Calibri" w:eastAsia="Times New Roman" w:hAnsi="Calibri" w:cs="Calibri"/>
                <w:kern w:val="0"/>
                <w:lang w:eastAsia="en-GB"/>
                <w14:ligatures w14:val="none"/>
              </w:rPr>
            </w:pPr>
            <w:r w:rsidRPr="00E865CE">
              <w:rPr>
                <w:rFonts w:ascii="Calibri" w:eastAsia="Times New Roman" w:hAnsi="Calibri" w:cs="Calibri"/>
                <w:kern w:val="0"/>
                <w:lang w:eastAsia="en-GB"/>
                <w14:ligatures w14:val="none"/>
              </w:rPr>
              <w:t xml:space="preserve">The policy tool does not include any remedial measures to address the reversal of carbon credits, nor does it define or reference the concept of </w:t>
            </w:r>
            <w:r>
              <w:rPr>
                <w:rFonts w:ascii="Calibri" w:eastAsia="Times New Roman" w:hAnsi="Calibri" w:cs="Calibri"/>
                <w:kern w:val="0"/>
                <w:lang w:eastAsia="en-GB"/>
                <w14:ligatures w14:val="none"/>
              </w:rPr>
              <w:t>“</w:t>
            </w:r>
            <w:r w:rsidRPr="00E865CE">
              <w:rPr>
                <w:rFonts w:ascii="Calibri" w:eastAsia="Times New Roman" w:hAnsi="Calibri" w:cs="Calibri"/>
                <w:kern w:val="0"/>
                <w:lang w:eastAsia="en-GB"/>
                <w14:ligatures w14:val="none"/>
              </w:rPr>
              <w:t>reversal</w:t>
            </w:r>
            <w:r>
              <w:rPr>
                <w:rFonts w:ascii="Calibri" w:eastAsia="Times New Roman" w:hAnsi="Calibri" w:cs="Calibri"/>
                <w:kern w:val="0"/>
                <w:lang w:eastAsia="en-GB"/>
                <w14:ligatures w14:val="none"/>
              </w:rPr>
              <w:t>”</w:t>
            </w:r>
            <w:r w:rsidRPr="00E865CE">
              <w:rPr>
                <w:rFonts w:ascii="Calibri" w:eastAsia="Times New Roman" w:hAnsi="Calibri" w:cs="Calibri"/>
                <w:kern w:val="0"/>
                <w:lang w:eastAsia="en-GB"/>
                <w14:ligatures w14:val="none"/>
              </w:rPr>
              <w:t xml:space="preserve"> at all.</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30281841" w:rsidR="00DD694D" w:rsidRPr="00CF2E7C" w:rsidRDefault="00E865C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63EC306" w14:textId="295732DF" w:rsidR="004C4193" w:rsidRPr="004C4193" w:rsidRDefault="004C4193" w:rsidP="004C4193">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The policy tool sets provisions for the quantification of emissions reductions or removals in Decree No. 4</w:t>
            </w:r>
            <w:r>
              <w:rPr>
                <w:rFonts w:ascii="Calibri" w:eastAsia="Times New Roman" w:hAnsi="Calibri" w:cs="Calibri"/>
                <w:kern w:val="0"/>
                <w:lang w:val="en-US" w:eastAsia="en-GB"/>
                <w14:ligatures w14:val="none"/>
              </w:rPr>
              <w:t xml:space="preserve"> of </w:t>
            </w:r>
            <w:r w:rsidRPr="004C4193">
              <w:rPr>
                <w:rFonts w:ascii="Calibri" w:eastAsia="Times New Roman" w:hAnsi="Calibri" w:cs="Calibri"/>
                <w:kern w:val="0"/>
                <w:lang w:val="en-US" w:eastAsia="en-GB"/>
                <w14:ligatures w14:val="none"/>
              </w:rPr>
              <w:t>2023.</w:t>
            </w:r>
          </w:p>
          <w:p w14:paraId="70CC8ED9" w14:textId="77777777" w:rsidR="004C4193" w:rsidRPr="004C4193" w:rsidRDefault="004C4193" w:rsidP="004C4193">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In Article 2(i), “metodología” is defined as the set of criteria, procedures, protocols, and content used to validate that a project meets the characteristics of a reduction or removal project and allows its quantification in a standardized manner. Article 2(p) further defines “reducción de emisiones” as the decrease in emissions compared to a previously established reference level or baseline. Article 2(j) defines “medible” as the attribute that allows emission reductions to be quantifiable through methodologies.</w:t>
            </w:r>
          </w:p>
          <w:p w14:paraId="72911A95" w14:textId="77777777" w:rsidR="004C4193" w:rsidRPr="004C4193" w:rsidRDefault="004C4193" w:rsidP="004C4193">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Article 8 requires the Ministry of the Environment to maintain a public list of methodologies for quantifying baseline emissions and calculating reductions. This includes methodologies developed and validated by the Ministry or proposed by third parties and approved. These methodologies must support standardized estimation and verification procedures.</w:t>
            </w:r>
          </w:p>
          <w:p w14:paraId="43B5BACB" w14:textId="77777777" w:rsidR="004C4193" w:rsidRPr="004C4193" w:rsidRDefault="004C4193" w:rsidP="004C4193">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Article 10 states that methodologies must account for legal obligations applicable to the project and clearly indicate the precedence of different quantification mechanisms when relevant. In the case of MP, NOx, or SO₂, Article 10 requires that the methodology include a technical justification for its applicability, supported by references or bibliographic sources.</w:t>
            </w:r>
          </w:p>
          <w:p w14:paraId="4073F913" w14:textId="38260811" w:rsidR="00DD694D" w:rsidRPr="004C4193" w:rsidRDefault="004C4193" w:rsidP="004C4193">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Under Article 15, project proponents are required to submit, as part of their project documentation, a detailed baseline of emissions considering both historical and projected emissions without the project. They must also calculate the projected emissions reductions by pollutant and by year and present the quantified difference between the baseline and expected post-project emissions.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EC7778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5917">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4542139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5917">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12F6910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5917">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182769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5917">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3B0B168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5917">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45F4A710" w:rsidR="00DD694D" w:rsidRPr="00CF2E7C" w:rsidRDefault="00E24A53" w:rsidP="00CF2E7C">
            <w:pPr>
              <w:textAlignment w:val="baseline"/>
              <w:rPr>
                <w:rFonts w:ascii="Calibri" w:eastAsia="Times New Roman" w:hAnsi="Calibri" w:cs="Calibri"/>
                <w:kern w:val="0"/>
                <w:lang w:eastAsia="en-GB"/>
                <w14:ligatures w14:val="none"/>
              </w:rPr>
            </w:pPr>
            <w:r w:rsidRPr="00E24A53">
              <w:rPr>
                <w:rFonts w:ascii="Calibri" w:eastAsia="Times New Roman" w:hAnsi="Calibri" w:cs="Calibri"/>
                <w:kern w:val="0"/>
                <w:lang w:eastAsia="en-GB"/>
                <w14:ligatures w14:val="none"/>
              </w:rPr>
              <w:t>The policy too</w:t>
            </w:r>
            <w:r>
              <w:rPr>
                <w:rFonts w:ascii="Calibri" w:eastAsia="Times New Roman" w:hAnsi="Calibri" w:cs="Calibri"/>
                <w:kern w:val="0"/>
                <w:lang w:eastAsia="en-GB"/>
                <w14:ligatures w14:val="none"/>
              </w:rPr>
              <w:t>l</w:t>
            </w:r>
            <w:r w:rsidRPr="00E24A53">
              <w:rPr>
                <w:rFonts w:ascii="Calibri" w:eastAsia="Times New Roman" w:hAnsi="Calibri" w:cs="Calibri"/>
                <w:kern w:val="0"/>
                <w:lang w:eastAsia="en-GB"/>
                <w14:ligatures w14:val="none"/>
              </w:rPr>
              <w:t xml:space="preserve"> does not include any provisions that address or safeguard the social integrity of carbon credit-generating projects.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74043DF3" w:rsidR="00B87C89" w:rsidRPr="00CF2E7C" w:rsidRDefault="003274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5B3EE7"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15B935A8" w:rsidR="00B87C89" w:rsidRPr="005B3EE7" w:rsidRDefault="005B3EE7" w:rsidP="00CF2E7C">
            <w:pPr>
              <w:textAlignment w:val="baseline"/>
              <w:rPr>
                <w:rFonts w:ascii="Calibri" w:eastAsia="Times New Roman" w:hAnsi="Calibri" w:cs="Calibri"/>
                <w:kern w:val="0"/>
                <w:lang w:eastAsia="en-GB"/>
                <w14:ligatures w14:val="none"/>
              </w:rPr>
            </w:pPr>
            <w:r w:rsidRPr="005B3EE7">
              <w:rPr>
                <w:rFonts w:ascii="Calibri" w:eastAsia="Times New Roman" w:hAnsi="Calibri" w:cs="Calibri"/>
                <w:kern w:val="0"/>
                <w:lang w:eastAsia="en-GB"/>
                <w14:ligatures w14:val="none"/>
              </w:rPr>
              <w:t>The policy tool allows up to 100% of taxable emissions to be compensated using eligible carbon credits. There is no maximum offset limit specified in the legal or regulatory text.</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1EE91C6" w:rsidR="002119B6" w:rsidRPr="00CF2E7C" w:rsidRDefault="002261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485B377D" w:rsidR="002119B6" w:rsidRPr="00CF2E7C" w:rsidRDefault="002261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C40F90B" w14:textId="7F9E4EBF" w:rsidR="00DC257D" w:rsidRPr="00DC257D" w:rsidRDefault="00DC257D" w:rsidP="00DC257D">
            <w:pPr>
              <w:textAlignment w:val="baseline"/>
              <w:rPr>
                <w:rFonts w:ascii="Calibri" w:eastAsia="Times New Roman" w:hAnsi="Calibri" w:cs="Calibri"/>
                <w:kern w:val="0"/>
                <w:lang w:val="en-US" w:eastAsia="en-GB"/>
                <w14:ligatures w14:val="none"/>
              </w:rPr>
            </w:pPr>
            <w:r w:rsidRPr="00DC257D">
              <w:rPr>
                <w:rFonts w:ascii="Calibri" w:eastAsia="Times New Roman" w:hAnsi="Calibri" w:cs="Calibri"/>
                <w:kern w:val="0"/>
                <w:lang w:val="en-US" w:eastAsia="en-GB"/>
                <w14:ligatures w14:val="none"/>
              </w:rPr>
              <w:t>Carbon credits permitted for use in Chile’s Green Tax compliance system must meet a defined set of eligibility criteria established in Decree No. 4</w:t>
            </w:r>
            <w:r>
              <w:rPr>
                <w:rFonts w:ascii="Calibri" w:eastAsia="Times New Roman" w:hAnsi="Calibri" w:cs="Calibri"/>
                <w:kern w:val="0"/>
                <w:lang w:val="en-US" w:eastAsia="en-GB"/>
                <w14:ligatures w14:val="none"/>
              </w:rPr>
              <w:t xml:space="preserve"> of </w:t>
            </w:r>
            <w:r w:rsidRPr="00DC257D">
              <w:rPr>
                <w:rFonts w:ascii="Calibri" w:eastAsia="Times New Roman" w:hAnsi="Calibri" w:cs="Calibri"/>
                <w:kern w:val="0"/>
                <w:lang w:val="en-US" w:eastAsia="en-GB"/>
                <w14:ligatures w14:val="none"/>
              </w:rPr>
              <w:t>2023. Article 6 requires that all credits come from emission reduction projects executed within the national territory. The same article specifies that emissions may only be compensated using reductions of the same contaminant (CO₂, MP, NOₓ, or SO₂) as the one being offset. Additionally, emission reductions must have occurred within three years prior to the year in which the corresponding taxable emissions were generated.</w:t>
            </w:r>
          </w:p>
          <w:p w14:paraId="153D276A" w14:textId="30D955B1" w:rsidR="002119B6" w:rsidRPr="00A9028E" w:rsidRDefault="00DC257D" w:rsidP="00A9028E">
            <w:pPr>
              <w:textAlignment w:val="baseline"/>
              <w:rPr>
                <w:rFonts w:ascii="Calibri" w:eastAsia="Times New Roman" w:hAnsi="Calibri" w:cs="Calibri"/>
                <w:kern w:val="0"/>
                <w:lang w:val="en-US" w:eastAsia="en-GB"/>
                <w14:ligatures w14:val="none"/>
              </w:rPr>
            </w:pPr>
            <w:r w:rsidRPr="00DC257D">
              <w:rPr>
                <w:rFonts w:ascii="Calibri" w:eastAsia="Times New Roman" w:hAnsi="Calibri" w:cs="Calibri"/>
                <w:kern w:val="0"/>
                <w:lang w:val="en-US" w:eastAsia="en-GB"/>
                <w14:ligatures w14:val="none"/>
              </w:rPr>
              <w:t xml:space="preserve">Article 4 sets out four essential attributes that all credits must fulfill: they must be additional, measurable, verifiable, and permanent. These criteria ensure the environmental integrity of the reductions. Articles 25 to 27 require that reductions be verified by an external auditor authorized by the </w:t>
            </w:r>
            <w:r w:rsidR="00C76FED">
              <w:rPr>
                <w:rFonts w:ascii="Calibri" w:eastAsia="Times New Roman" w:hAnsi="Calibri" w:cs="Calibri"/>
                <w:kern w:val="0"/>
                <w:lang w:val="en-US" w:eastAsia="en-GB"/>
                <w14:ligatures w14:val="none"/>
              </w:rPr>
              <w:t>SMA</w:t>
            </w:r>
            <w:r w:rsidRPr="00DC257D">
              <w:rPr>
                <w:rFonts w:ascii="Calibri" w:eastAsia="Times New Roman" w:hAnsi="Calibri" w:cs="Calibri"/>
                <w:kern w:val="0"/>
                <w:lang w:val="en-US" w:eastAsia="en-GB"/>
                <w14:ligatures w14:val="none"/>
              </w:rPr>
              <w:t xml:space="preserve">, and Article 27 further mandates that these verified reductions be validated, registered, and cancelled in the national emissions reduction registry (Article 32). For local pollutants (MP, NOₓ, SO₂), Article 6 also imposes a geographic constraint: projects must </w:t>
            </w:r>
            <w:r w:rsidR="00C76FED" w:rsidRPr="00DC257D">
              <w:rPr>
                <w:rFonts w:ascii="Calibri" w:eastAsia="Times New Roman" w:hAnsi="Calibri" w:cs="Calibri"/>
                <w:kern w:val="0"/>
                <w:lang w:val="en-US" w:eastAsia="en-GB"/>
                <w14:ligatures w14:val="none"/>
              </w:rPr>
              <w:t>be in</w:t>
            </w:r>
            <w:r w:rsidRPr="00DC257D">
              <w:rPr>
                <w:rFonts w:ascii="Calibri" w:eastAsia="Times New Roman" w:hAnsi="Calibri" w:cs="Calibri"/>
                <w:kern w:val="0"/>
                <w:lang w:val="en-US" w:eastAsia="en-GB"/>
                <w14:ligatures w14:val="none"/>
              </w:rPr>
              <w:t xml:space="preserve"> the same or an adjacent </w:t>
            </w:r>
            <w:r w:rsidRPr="00DC257D">
              <w:rPr>
                <w:rFonts w:ascii="Calibri" w:eastAsia="Times New Roman" w:hAnsi="Calibri" w:cs="Calibri"/>
                <w:i/>
                <w:iCs/>
                <w:kern w:val="0"/>
                <w:lang w:val="en-US" w:eastAsia="en-GB"/>
                <w14:ligatures w14:val="none"/>
              </w:rPr>
              <w:t>comuna</w:t>
            </w:r>
            <w:r w:rsidRPr="00DC257D">
              <w:rPr>
                <w:rFonts w:ascii="Calibri" w:eastAsia="Times New Roman" w:hAnsi="Calibri" w:cs="Calibri"/>
                <w:kern w:val="0"/>
                <w:lang w:val="en-US" w:eastAsia="en-GB"/>
                <w14:ligatures w14:val="none"/>
              </w:rPr>
              <w:t xml:space="preserve">, and if the emissions originate in a </w:t>
            </w:r>
            <w:r w:rsidRPr="00DC257D">
              <w:rPr>
                <w:rFonts w:ascii="Calibri" w:eastAsia="Times New Roman" w:hAnsi="Calibri" w:cs="Calibri"/>
                <w:i/>
                <w:iCs/>
                <w:kern w:val="0"/>
                <w:lang w:val="en-US" w:eastAsia="en-GB"/>
                <w14:ligatures w14:val="none"/>
              </w:rPr>
              <w:t xml:space="preserve">zona saturada </w:t>
            </w:r>
            <w:r w:rsidRPr="00DC257D">
              <w:rPr>
                <w:rFonts w:ascii="Calibri" w:eastAsia="Times New Roman" w:hAnsi="Calibri" w:cs="Calibri"/>
                <w:kern w:val="0"/>
                <w:lang w:val="en-US" w:eastAsia="en-GB"/>
                <w14:ligatures w14:val="none"/>
              </w:rPr>
              <w:t xml:space="preserve">o </w:t>
            </w:r>
            <w:r w:rsidRPr="00DC257D">
              <w:rPr>
                <w:rFonts w:ascii="Calibri" w:eastAsia="Times New Roman" w:hAnsi="Calibri" w:cs="Calibri"/>
                <w:i/>
                <w:iCs/>
                <w:kern w:val="0"/>
                <w:lang w:val="en-US" w:eastAsia="en-GB"/>
                <w14:ligatures w14:val="none"/>
              </w:rPr>
              <w:t>latente</w:t>
            </w:r>
            <w:r w:rsidRPr="00DC257D">
              <w:rPr>
                <w:rFonts w:ascii="Calibri" w:eastAsia="Times New Roman" w:hAnsi="Calibri" w:cs="Calibri"/>
                <w:kern w:val="0"/>
                <w:lang w:val="en-US" w:eastAsia="en-GB"/>
                <w14:ligatures w14:val="none"/>
              </w:rPr>
              <w:t>, the project must be within that same zone.</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70B34B28" w:rsidR="00FE7FA5" w:rsidRPr="00CF2E7C" w:rsidRDefault="00A902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E6664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4B7E81" w:rsidRDefault="00DD292A" w:rsidP="00CF2E7C">
            <w:pPr>
              <w:rPr>
                <w:rFonts w:ascii="Calibri" w:hAnsi="Calibri" w:cs="Calibri"/>
                <w:lang w:val="fr-FR"/>
              </w:rPr>
            </w:pPr>
            <w:r w:rsidRPr="004B7E81">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4B7E81" w:rsidRDefault="00DD292A" w:rsidP="00CF2E7C">
            <w:pPr>
              <w:rPr>
                <w:rFonts w:ascii="Calibri" w:hAnsi="Calibri" w:cs="Calibri"/>
                <w:lang w:val="fr-FR"/>
              </w:rPr>
            </w:pPr>
          </w:p>
        </w:tc>
      </w:tr>
      <w:tr w:rsidR="00DD292A" w:rsidRPr="00E6664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E6664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522ED" w:rsidRDefault="002F0752" w:rsidP="00CF2E7C">
            <w:pPr>
              <w:rPr>
                <w:rFonts w:ascii="Calibri" w:hAnsi="Calibri" w:cs="Calibri"/>
                <w:lang w:val="fr-FR"/>
              </w:rPr>
            </w:pPr>
            <w:r w:rsidRPr="003522ED">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522ED" w:rsidRDefault="002F0752" w:rsidP="00CF2E7C">
            <w:pPr>
              <w:rPr>
                <w:rFonts w:ascii="Calibri" w:hAnsi="Calibri" w:cs="Calibri"/>
                <w:lang w:val="fr-FR"/>
              </w:rPr>
            </w:pPr>
          </w:p>
        </w:tc>
      </w:tr>
      <w:tr w:rsidR="002F0752" w:rsidRPr="00E6664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0B40A7" w14:textId="77777777" w:rsidR="00045D1B" w:rsidRDefault="00045D1B" w:rsidP="00874E39">
      <w:r>
        <w:separator/>
      </w:r>
    </w:p>
  </w:endnote>
  <w:endnote w:type="continuationSeparator" w:id="0">
    <w:p w14:paraId="7069A43F" w14:textId="77777777" w:rsidR="00045D1B" w:rsidRDefault="00045D1B" w:rsidP="00874E39">
      <w:r>
        <w:continuationSeparator/>
      </w:r>
    </w:p>
  </w:endnote>
  <w:endnote w:type="continuationNotice" w:id="1">
    <w:p w14:paraId="63CF576E" w14:textId="77777777" w:rsidR="00045D1B" w:rsidRDefault="00045D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B0AADA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E37916" w14:textId="77777777" w:rsidR="00045D1B" w:rsidRDefault="00045D1B" w:rsidP="00874E39">
      <w:r>
        <w:separator/>
      </w:r>
    </w:p>
  </w:footnote>
  <w:footnote w:type="continuationSeparator" w:id="0">
    <w:p w14:paraId="00CB0DD6" w14:textId="77777777" w:rsidR="00045D1B" w:rsidRDefault="00045D1B" w:rsidP="00874E39">
      <w:r>
        <w:continuationSeparator/>
      </w:r>
    </w:p>
  </w:footnote>
  <w:footnote w:type="continuationNotice" w:id="1">
    <w:p w14:paraId="580D9980" w14:textId="77777777" w:rsidR="00045D1B" w:rsidRDefault="00045D1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9A1531"/>
    <w:multiLevelType w:val="hybridMultilevel"/>
    <w:tmpl w:val="98B61C10"/>
    <w:lvl w:ilvl="0" w:tplc="4C4EA9E0">
      <w:start w:val="16"/>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3C3E33"/>
    <w:multiLevelType w:val="multilevel"/>
    <w:tmpl w:val="EF7AAF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96939C3"/>
    <w:multiLevelType w:val="multilevel"/>
    <w:tmpl w:val="6B367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B36150C"/>
    <w:multiLevelType w:val="multilevel"/>
    <w:tmpl w:val="4ADAF0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C946798"/>
    <w:multiLevelType w:val="multilevel"/>
    <w:tmpl w:val="0F8E05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8D0A9C"/>
    <w:multiLevelType w:val="multilevel"/>
    <w:tmpl w:val="49AA8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4" w15:restartNumberingAfterBreak="0">
    <w:nsid w:val="7AA857F1"/>
    <w:multiLevelType w:val="multilevel"/>
    <w:tmpl w:val="0D98D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FF07F90"/>
    <w:multiLevelType w:val="multilevel"/>
    <w:tmpl w:val="1A1ABA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18"/>
  </w:num>
  <w:num w:numId="2" w16cid:durableId="482308869">
    <w:abstractNumId w:val="26"/>
  </w:num>
  <w:num w:numId="3" w16cid:durableId="690952733">
    <w:abstractNumId w:val="46"/>
  </w:num>
  <w:num w:numId="4" w16cid:durableId="1689330127">
    <w:abstractNumId w:val="1"/>
  </w:num>
  <w:num w:numId="5" w16cid:durableId="401291788">
    <w:abstractNumId w:val="31"/>
  </w:num>
  <w:num w:numId="6" w16cid:durableId="1276788690">
    <w:abstractNumId w:val="15"/>
  </w:num>
  <w:num w:numId="7" w16cid:durableId="566767730">
    <w:abstractNumId w:val="23"/>
  </w:num>
  <w:num w:numId="8" w16cid:durableId="1780710843">
    <w:abstractNumId w:val="38"/>
  </w:num>
  <w:num w:numId="9" w16cid:durableId="1685783054">
    <w:abstractNumId w:val="3"/>
  </w:num>
  <w:num w:numId="10" w16cid:durableId="950551298">
    <w:abstractNumId w:val="35"/>
  </w:num>
  <w:num w:numId="11" w16cid:durableId="1591960799">
    <w:abstractNumId w:val="53"/>
  </w:num>
  <w:num w:numId="12" w16cid:durableId="1344891410">
    <w:abstractNumId w:val="10"/>
  </w:num>
  <w:num w:numId="13" w16cid:durableId="2023899324">
    <w:abstractNumId w:val="12"/>
  </w:num>
  <w:num w:numId="14" w16cid:durableId="430587014">
    <w:abstractNumId w:val="7"/>
  </w:num>
  <w:num w:numId="15" w16cid:durableId="1742869061">
    <w:abstractNumId w:val="34"/>
  </w:num>
  <w:num w:numId="16" w16cid:durableId="1996450437">
    <w:abstractNumId w:val="21"/>
  </w:num>
  <w:num w:numId="17" w16cid:durableId="1529031027">
    <w:abstractNumId w:val="8"/>
  </w:num>
  <w:num w:numId="18" w16cid:durableId="568614617">
    <w:abstractNumId w:val="19"/>
  </w:num>
  <w:num w:numId="19" w16cid:durableId="1530605858">
    <w:abstractNumId w:val="47"/>
  </w:num>
  <w:num w:numId="20" w16cid:durableId="1328172586">
    <w:abstractNumId w:val="17"/>
  </w:num>
  <w:num w:numId="21" w16cid:durableId="184827816">
    <w:abstractNumId w:val="30"/>
  </w:num>
  <w:num w:numId="22" w16cid:durableId="1785346599">
    <w:abstractNumId w:val="37"/>
  </w:num>
  <w:num w:numId="23" w16cid:durableId="1294288901">
    <w:abstractNumId w:val="29"/>
  </w:num>
  <w:num w:numId="24" w16cid:durableId="1603957975">
    <w:abstractNumId w:val="50"/>
  </w:num>
  <w:num w:numId="25" w16cid:durableId="1659531047">
    <w:abstractNumId w:val="49"/>
  </w:num>
  <w:num w:numId="26" w16cid:durableId="752774403">
    <w:abstractNumId w:val="25"/>
  </w:num>
  <w:num w:numId="27" w16cid:durableId="347872198">
    <w:abstractNumId w:val="6"/>
  </w:num>
  <w:num w:numId="28" w16cid:durableId="537133110">
    <w:abstractNumId w:val="13"/>
  </w:num>
  <w:num w:numId="29" w16cid:durableId="1632318729">
    <w:abstractNumId w:val="51"/>
  </w:num>
  <w:num w:numId="30" w16cid:durableId="1268124074">
    <w:abstractNumId w:val="36"/>
  </w:num>
  <w:num w:numId="31" w16cid:durableId="887108748">
    <w:abstractNumId w:val="32"/>
  </w:num>
  <w:num w:numId="32" w16cid:durableId="1826125712">
    <w:abstractNumId w:val="39"/>
  </w:num>
  <w:num w:numId="33" w16cid:durableId="823357978">
    <w:abstractNumId w:val="43"/>
  </w:num>
  <w:num w:numId="34" w16cid:durableId="1092120443">
    <w:abstractNumId w:val="42"/>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5"/>
  </w:num>
  <w:num w:numId="46" w16cid:durableId="947811845">
    <w:abstractNumId w:val="52"/>
  </w:num>
  <w:num w:numId="47" w16cid:durableId="342588554">
    <w:abstractNumId w:val="28"/>
  </w:num>
  <w:num w:numId="48" w16cid:durableId="318391343">
    <w:abstractNumId w:val="40"/>
  </w:num>
  <w:num w:numId="49" w16cid:durableId="1822381897">
    <w:abstractNumId w:val="48"/>
  </w:num>
  <w:num w:numId="50" w16cid:durableId="1025521324">
    <w:abstractNumId w:val="9"/>
  </w:num>
  <w:num w:numId="51" w16cid:durableId="1966429249">
    <w:abstractNumId w:val="44"/>
  </w:num>
  <w:num w:numId="52" w16cid:durableId="404256742">
    <w:abstractNumId w:val="54"/>
  </w:num>
  <w:num w:numId="53" w16cid:durableId="567347893">
    <w:abstractNumId w:val="33"/>
  </w:num>
  <w:num w:numId="54" w16cid:durableId="1253928781">
    <w:abstractNumId w:val="22"/>
  </w:num>
  <w:num w:numId="55" w16cid:durableId="1375231189">
    <w:abstractNumId w:val="55"/>
  </w:num>
  <w:num w:numId="56" w16cid:durableId="1822383610">
    <w:abstractNumId w:val="1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6D5"/>
    <w:rsid w:val="000147A5"/>
    <w:rsid w:val="00016AF3"/>
    <w:rsid w:val="000202AF"/>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406"/>
    <w:rsid w:val="00042518"/>
    <w:rsid w:val="000428FA"/>
    <w:rsid w:val="000449A7"/>
    <w:rsid w:val="00045D1B"/>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811"/>
    <w:rsid w:val="00091947"/>
    <w:rsid w:val="00091A8C"/>
    <w:rsid w:val="00091B67"/>
    <w:rsid w:val="00092534"/>
    <w:rsid w:val="00092E1C"/>
    <w:rsid w:val="00093CA9"/>
    <w:rsid w:val="000948C7"/>
    <w:rsid w:val="00096371"/>
    <w:rsid w:val="000966D3"/>
    <w:rsid w:val="000A0D34"/>
    <w:rsid w:val="000A0F31"/>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653"/>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9E6"/>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8D8"/>
    <w:rsid w:val="00156AE2"/>
    <w:rsid w:val="00156CD5"/>
    <w:rsid w:val="0015734C"/>
    <w:rsid w:val="0016002C"/>
    <w:rsid w:val="00160486"/>
    <w:rsid w:val="001604B3"/>
    <w:rsid w:val="00161D1B"/>
    <w:rsid w:val="00162CC0"/>
    <w:rsid w:val="00164519"/>
    <w:rsid w:val="00170B1D"/>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16E"/>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3E7"/>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05"/>
    <w:rsid w:val="0022414E"/>
    <w:rsid w:val="00224D9E"/>
    <w:rsid w:val="002261FB"/>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4852"/>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70A"/>
    <w:rsid w:val="0027682F"/>
    <w:rsid w:val="00277FC5"/>
    <w:rsid w:val="00281CB1"/>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18D3"/>
    <w:rsid w:val="002C2336"/>
    <w:rsid w:val="002C5E2F"/>
    <w:rsid w:val="002C6925"/>
    <w:rsid w:val="002C75E1"/>
    <w:rsid w:val="002C77E1"/>
    <w:rsid w:val="002D16BE"/>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4FB1"/>
    <w:rsid w:val="00325558"/>
    <w:rsid w:val="00325771"/>
    <w:rsid w:val="00325E0E"/>
    <w:rsid w:val="003274C3"/>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2ED"/>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750"/>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5B3"/>
    <w:rsid w:val="003E7DD6"/>
    <w:rsid w:val="003F1282"/>
    <w:rsid w:val="003F1C8E"/>
    <w:rsid w:val="003F1E87"/>
    <w:rsid w:val="003F256E"/>
    <w:rsid w:val="003F2B00"/>
    <w:rsid w:val="003F2E77"/>
    <w:rsid w:val="003F338D"/>
    <w:rsid w:val="003F39C3"/>
    <w:rsid w:val="003F4908"/>
    <w:rsid w:val="003F5B6F"/>
    <w:rsid w:val="003F6246"/>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3D2B"/>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FCB"/>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D0D"/>
    <w:rsid w:val="004B666D"/>
    <w:rsid w:val="004B739E"/>
    <w:rsid w:val="004B77AB"/>
    <w:rsid w:val="004B78BB"/>
    <w:rsid w:val="004B7E81"/>
    <w:rsid w:val="004C006D"/>
    <w:rsid w:val="004C20B7"/>
    <w:rsid w:val="004C3866"/>
    <w:rsid w:val="004C3A52"/>
    <w:rsid w:val="004C4193"/>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3EE7"/>
    <w:rsid w:val="005B4539"/>
    <w:rsid w:val="005B494A"/>
    <w:rsid w:val="005B4F5D"/>
    <w:rsid w:val="005C0D95"/>
    <w:rsid w:val="005C327C"/>
    <w:rsid w:val="005C4420"/>
    <w:rsid w:val="005C5681"/>
    <w:rsid w:val="005C6A1D"/>
    <w:rsid w:val="005C765C"/>
    <w:rsid w:val="005C7DF6"/>
    <w:rsid w:val="005D01FF"/>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E60"/>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B5F"/>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3E4"/>
    <w:rsid w:val="00675752"/>
    <w:rsid w:val="006770B7"/>
    <w:rsid w:val="006801E4"/>
    <w:rsid w:val="00681252"/>
    <w:rsid w:val="00683A9D"/>
    <w:rsid w:val="00683DB5"/>
    <w:rsid w:val="00685A4F"/>
    <w:rsid w:val="006878AC"/>
    <w:rsid w:val="00690B2A"/>
    <w:rsid w:val="006936EF"/>
    <w:rsid w:val="006943E9"/>
    <w:rsid w:val="00695F64"/>
    <w:rsid w:val="00696548"/>
    <w:rsid w:val="00696D68"/>
    <w:rsid w:val="006A00E0"/>
    <w:rsid w:val="006A103A"/>
    <w:rsid w:val="006A20EB"/>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0B01"/>
    <w:rsid w:val="007245FC"/>
    <w:rsid w:val="007250B7"/>
    <w:rsid w:val="007274CB"/>
    <w:rsid w:val="0072785A"/>
    <w:rsid w:val="00730E27"/>
    <w:rsid w:val="007312A3"/>
    <w:rsid w:val="00732D3A"/>
    <w:rsid w:val="007335CD"/>
    <w:rsid w:val="007338F7"/>
    <w:rsid w:val="00733903"/>
    <w:rsid w:val="00733D39"/>
    <w:rsid w:val="00735A3B"/>
    <w:rsid w:val="00736F5F"/>
    <w:rsid w:val="00737B83"/>
    <w:rsid w:val="0074022B"/>
    <w:rsid w:val="007404B4"/>
    <w:rsid w:val="007406E6"/>
    <w:rsid w:val="00740BD6"/>
    <w:rsid w:val="00741920"/>
    <w:rsid w:val="007419BF"/>
    <w:rsid w:val="007419D8"/>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4B6"/>
    <w:rsid w:val="007600D1"/>
    <w:rsid w:val="007615D2"/>
    <w:rsid w:val="00763C64"/>
    <w:rsid w:val="00764D1A"/>
    <w:rsid w:val="00764DB3"/>
    <w:rsid w:val="00765130"/>
    <w:rsid w:val="007653FB"/>
    <w:rsid w:val="0076706A"/>
    <w:rsid w:val="00767CB8"/>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917"/>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9BA"/>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D77FF"/>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8CE"/>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1BA"/>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9C1"/>
    <w:rsid w:val="00933F3C"/>
    <w:rsid w:val="00934657"/>
    <w:rsid w:val="009370E9"/>
    <w:rsid w:val="00937D9B"/>
    <w:rsid w:val="00940E65"/>
    <w:rsid w:val="0094115B"/>
    <w:rsid w:val="00943E1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59E"/>
    <w:rsid w:val="0097030B"/>
    <w:rsid w:val="00970901"/>
    <w:rsid w:val="00970C82"/>
    <w:rsid w:val="00971C0E"/>
    <w:rsid w:val="009736BF"/>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606"/>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B00"/>
    <w:rsid w:val="009E3D96"/>
    <w:rsid w:val="009E40D3"/>
    <w:rsid w:val="009E4263"/>
    <w:rsid w:val="009E51A2"/>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17B"/>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28E"/>
    <w:rsid w:val="00A90D91"/>
    <w:rsid w:val="00A93112"/>
    <w:rsid w:val="00A932DE"/>
    <w:rsid w:val="00A9656E"/>
    <w:rsid w:val="00AA186B"/>
    <w:rsid w:val="00AA2F4F"/>
    <w:rsid w:val="00AA38F6"/>
    <w:rsid w:val="00AA4965"/>
    <w:rsid w:val="00AA6DDB"/>
    <w:rsid w:val="00AB0830"/>
    <w:rsid w:val="00AB2CCC"/>
    <w:rsid w:val="00AB4F2C"/>
    <w:rsid w:val="00AB64F8"/>
    <w:rsid w:val="00AC484A"/>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1A81"/>
    <w:rsid w:val="00B12278"/>
    <w:rsid w:val="00B12EFD"/>
    <w:rsid w:val="00B131A4"/>
    <w:rsid w:val="00B13CB3"/>
    <w:rsid w:val="00B14AD4"/>
    <w:rsid w:val="00B14C45"/>
    <w:rsid w:val="00B15489"/>
    <w:rsid w:val="00B16155"/>
    <w:rsid w:val="00B171FD"/>
    <w:rsid w:val="00B17588"/>
    <w:rsid w:val="00B17C33"/>
    <w:rsid w:val="00B17FBC"/>
    <w:rsid w:val="00B200F9"/>
    <w:rsid w:val="00B20D58"/>
    <w:rsid w:val="00B22535"/>
    <w:rsid w:val="00B2441D"/>
    <w:rsid w:val="00B24E10"/>
    <w:rsid w:val="00B25E7E"/>
    <w:rsid w:val="00B2670C"/>
    <w:rsid w:val="00B310C1"/>
    <w:rsid w:val="00B32231"/>
    <w:rsid w:val="00B34DDE"/>
    <w:rsid w:val="00B35E99"/>
    <w:rsid w:val="00B3764F"/>
    <w:rsid w:val="00B41334"/>
    <w:rsid w:val="00B43080"/>
    <w:rsid w:val="00B431B1"/>
    <w:rsid w:val="00B43E73"/>
    <w:rsid w:val="00B43FE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003"/>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5"/>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4BE4"/>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4D5"/>
    <w:rsid w:val="00BF6E4C"/>
    <w:rsid w:val="00BF71E9"/>
    <w:rsid w:val="00BF71F1"/>
    <w:rsid w:val="00BF76DF"/>
    <w:rsid w:val="00BF7CB5"/>
    <w:rsid w:val="00C01031"/>
    <w:rsid w:val="00C01384"/>
    <w:rsid w:val="00C01AF9"/>
    <w:rsid w:val="00C0274C"/>
    <w:rsid w:val="00C02F33"/>
    <w:rsid w:val="00C03827"/>
    <w:rsid w:val="00C0397A"/>
    <w:rsid w:val="00C070EA"/>
    <w:rsid w:val="00C1090B"/>
    <w:rsid w:val="00C10DD0"/>
    <w:rsid w:val="00C13017"/>
    <w:rsid w:val="00C13FBE"/>
    <w:rsid w:val="00C141CA"/>
    <w:rsid w:val="00C1469D"/>
    <w:rsid w:val="00C149A3"/>
    <w:rsid w:val="00C16C64"/>
    <w:rsid w:val="00C173CD"/>
    <w:rsid w:val="00C20109"/>
    <w:rsid w:val="00C203F6"/>
    <w:rsid w:val="00C20FC8"/>
    <w:rsid w:val="00C227D5"/>
    <w:rsid w:val="00C228DF"/>
    <w:rsid w:val="00C2454C"/>
    <w:rsid w:val="00C25F98"/>
    <w:rsid w:val="00C26867"/>
    <w:rsid w:val="00C27879"/>
    <w:rsid w:val="00C30240"/>
    <w:rsid w:val="00C3135C"/>
    <w:rsid w:val="00C3244D"/>
    <w:rsid w:val="00C33102"/>
    <w:rsid w:val="00C3337E"/>
    <w:rsid w:val="00C334E1"/>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5EC5"/>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6FED"/>
    <w:rsid w:val="00C81DE5"/>
    <w:rsid w:val="00C82860"/>
    <w:rsid w:val="00C837C9"/>
    <w:rsid w:val="00C8396C"/>
    <w:rsid w:val="00C840B5"/>
    <w:rsid w:val="00C84F1D"/>
    <w:rsid w:val="00C85D11"/>
    <w:rsid w:val="00C85DD9"/>
    <w:rsid w:val="00C85F5A"/>
    <w:rsid w:val="00C85FE9"/>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4F2B"/>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72E"/>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753"/>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590"/>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57D"/>
    <w:rsid w:val="00DC31BF"/>
    <w:rsid w:val="00DC33EF"/>
    <w:rsid w:val="00DC4911"/>
    <w:rsid w:val="00DC7CFF"/>
    <w:rsid w:val="00DC7EFD"/>
    <w:rsid w:val="00DD090B"/>
    <w:rsid w:val="00DD15AE"/>
    <w:rsid w:val="00DD1C95"/>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4E8"/>
    <w:rsid w:val="00E06A93"/>
    <w:rsid w:val="00E11F06"/>
    <w:rsid w:val="00E121D3"/>
    <w:rsid w:val="00E122B2"/>
    <w:rsid w:val="00E12434"/>
    <w:rsid w:val="00E12745"/>
    <w:rsid w:val="00E12B4B"/>
    <w:rsid w:val="00E134A0"/>
    <w:rsid w:val="00E139A9"/>
    <w:rsid w:val="00E1559F"/>
    <w:rsid w:val="00E15DD2"/>
    <w:rsid w:val="00E15F51"/>
    <w:rsid w:val="00E17530"/>
    <w:rsid w:val="00E17A58"/>
    <w:rsid w:val="00E20574"/>
    <w:rsid w:val="00E2059C"/>
    <w:rsid w:val="00E2063A"/>
    <w:rsid w:val="00E20EF2"/>
    <w:rsid w:val="00E224C8"/>
    <w:rsid w:val="00E244AA"/>
    <w:rsid w:val="00E24527"/>
    <w:rsid w:val="00E24A53"/>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10C"/>
    <w:rsid w:val="00E64AEA"/>
    <w:rsid w:val="00E65D70"/>
    <w:rsid w:val="00E66643"/>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5CE"/>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498"/>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A46"/>
    <w:rsid w:val="00F25D48"/>
    <w:rsid w:val="00F26296"/>
    <w:rsid w:val="00F26DE2"/>
    <w:rsid w:val="00F270E9"/>
    <w:rsid w:val="00F276B3"/>
    <w:rsid w:val="00F27809"/>
    <w:rsid w:val="00F27947"/>
    <w:rsid w:val="00F301C8"/>
    <w:rsid w:val="00F30803"/>
    <w:rsid w:val="00F30898"/>
    <w:rsid w:val="00F31354"/>
    <w:rsid w:val="00F32DA8"/>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768"/>
    <w:rsid w:val="00F97EEE"/>
    <w:rsid w:val="00FA0392"/>
    <w:rsid w:val="00FA0CF8"/>
    <w:rsid w:val="00FA119A"/>
    <w:rsid w:val="00FA2D54"/>
    <w:rsid w:val="00FA2FEE"/>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4C"/>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0A0F3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939893">
      <w:bodyDiv w:val="1"/>
      <w:marLeft w:val="0"/>
      <w:marRight w:val="0"/>
      <w:marTop w:val="0"/>
      <w:marBottom w:val="0"/>
      <w:divBdr>
        <w:top w:val="none" w:sz="0" w:space="0" w:color="auto"/>
        <w:left w:val="none" w:sz="0" w:space="0" w:color="auto"/>
        <w:bottom w:val="none" w:sz="0" w:space="0" w:color="auto"/>
        <w:right w:val="none" w:sz="0" w:space="0" w:color="auto"/>
      </w:divBdr>
    </w:div>
    <w:div w:id="117459010">
      <w:bodyDiv w:val="1"/>
      <w:marLeft w:val="0"/>
      <w:marRight w:val="0"/>
      <w:marTop w:val="0"/>
      <w:marBottom w:val="0"/>
      <w:divBdr>
        <w:top w:val="none" w:sz="0" w:space="0" w:color="auto"/>
        <w:left w:val="none" w:sz="0" w:space="0" w:color="auto"/>
        <w:bottom w:val="none" w:sz="0" w:space="0" w:color="auto"/>
        <w:right w:val="none" w:sz="0" w:space="0" w:color="auto"/>
      </w:divBdr>
    </w:div>
    <w:div w:id="119500109">
      <w:bodyDiv w:val="1"/>
      <w:marLeft w:val="0"/>
      <w:marRight w:val="0"/>
      <w:marTop w:val="0"/>
      <w:marBottom w:val="0"/>
      <w:divBdr>
        <w:top w:val="none" w:sz="0" w:space="0" w:color="auto"/>
        <w:left w:val="none" w:sz="0" w:space="0" w:color="auto"/>
        <w:bottom w:val="none" w:sz="0" w:space="0" w:color="auto"/>
        <w:right w:val="none" w:sz="0" w:space="0" w:color="auto"/>
      </w:divBdr>
    </w:div>
    <w:div w:id="207033692">
      <w:bodyDiv w:val="1"/>
      <w:marLeft w:val="0"/>
      <w:marRight w:val="0"/>
      <w:marTop w:val="0"/>
      <w:marBottom w:val="0"/>
      <w:divBdr>
        <w:top w:val="none" w:sz="0" w:space="0" w:color="auto"/>
        <w:left w:val="none" w:sz="0" w:space="0" w:color="auto"/>
        <w:bottom w:val="none" w:sz="0" w:space="0" w:color="auto"/>
        <w:right w:val="none" w:sz="0" w:space="0" w:color="auto"/>
      </w:divBdr>
    </w:div>
    <w:div w:id="258104791">
      <w:bodyDiv w:val="1"/>
      <w:marLeft w:val="0"/>
      <w:marRight w:val="0"/>
      <w:marTop w:val="0"/>
      <w:marBottom w:val="0"/>
      <w:divBdr>
        <w:top w:val="none" w:sz="0" w:space="0" w:color="auto"/>
        <w:left w:val="none" w:sz="0" w:space="0" w:color="auto"/>
        <w:bottom w:val="none" w:sz="0" w:space="0" w:color="auto"/>
        <w:right w:val="none" w:sz="0" w:space="0" w:color="auto"/>
      </w:divBdr>
    </w:div>
    <w:div w:id="329214804">
      <w:bodyDiv w:val="1"/>
      <w:marLeft w:val="0"/>
      <w:marRight w:val="0"/>
      <w:marTop w:val="0"/>
      <w:marBottom w:val="0"/>
      <w:divBdr>
        <w:top w:val="none" w:sz="0" w:space="0" w:color="auto"/>
        <w:left w:val="none" w:sz="0" w:space="0" w:color="auto"/>
        <w:bottom w:val="none" w:sz="0" w:space="0" w:color="auto"/>
        <w:right w:val="none" w:sz="0" w:space="0" w:color="auto"/>
      </w:divBdr>
    </w:div>
    <w:div w:id="338972785">
      <w:bodyDiv w:val="1"/>
      <w:marLeft w:val="0"/>
      <w:marRight w:val="0"/>
      <w:marTop w:val="0"/>
      <w:marBottom w:val="0"/>
      <w:divBdr>
        <w:top w:val="none" w:sz="0" w:space="0" w:color="auto"/>
        <w:left w:val="none" w:sz="0" w:space="0" w:color="auto"/>
        <w:bottom w:val="none" w:sz="0" w:space="0" w:color="auto"/>
        <w:right w:val="none" w:sz="0" w:space="0" w:color="auto"/>
      </w:divBdr>
      <w:divsChild>
        <w:div w:id="1534079623">
          <w:blockQuote w:val="1"/>
          <w:marLeft w:val="720"/>
          <w:marRight w:val="720"/>
          <w:marTop w:val="100"/>
          <w:marBottom w:val="100"/>
          <w:divBdr>
            <w:top w:val="none" w:sz="0" w:space="0" w:color="auto"/>
            <w:left w:val="none" w:sz="0" w:space="0" w:color="auto"/>
            <w:bottom w:val="none" w:sz="0" w:space="0" w:color="auto"/>
            <w:right w:val="none" w:sz="0" w:space="0" w:color="auto"/>
          </w:divBdr>
        </w:div>
        <w:div w:id="1859465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6498765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9313859">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792975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830104">
      <w:bodyDiv w:val="1"/>
      <w:marLeft w:val="0"/>
      <w:marRight w:val="0"/>
      <w:marTop w:val="0"/>
      <w:marBottom w:val="0"/>
      <w:divBdr>
        <w:top w:val="none" w:sz="0" w:space="0" w:color="auto"/>
        <w:left w:val="none" w:sz="0" w:space="0" w:color="auto"/>
        <w:bottom w:val="none" w:sz="0" w:space="0" w:color="auto"/>
        <w:right w:val="none" w:sz="0" w:space="0" w:color="auto"/>
      </w:divBdr>
    </w:div>
    <w:div w:id="834340132">
      <w:bodyDiv w:val="1"/>
      <w:marLeft w:val="0"/>
      <w:marRight w:val="0"/>
      <w:marTop w:val="0"/>
      <w:marBottom w:val="0"/>
      <w:divBdr>
        <w:top w:val="none" w:sz="0" w:space="0" w:color="auto"/>
        <w:left w:val="none" w:sz="0" w:space="0" w:color="auto"/>
        <w:bottom w:val="none" w:sz="0" w:space="0" w:color="auto"/>
        <w:right w:val="none" w:sz="0" w:space="0" w:color="auto"/>
      </w:divBdr>
    </w:div>
    <w:div w:id="895169295">
      <w:bodyDiv w:val="1"/>
      <w:marLeft w:val="0"/>
      <w:marRight w:val="0"/>
      <w:marTop w:val="0"/>
      <w:marBottom w:val="0"/>
      <w:divBdr>
        <w:top w:val="none" w:sz="0" w:space="0" w:color="auto"/>
        <w:left w:val="none" w:sz="0" w:space="0" w:color="auto"/>
        <w:bottom w:val="none" w:sz="0" w:space="0" w:color="auto"/>
        <w:right w:val="none" w:sz="0" w:space="0" w:color="auto"/>
      </w:divBdr>
    </w:div>
    <w:div w:id="1094788092">
      <w:bodyDiv w:val="1"/>
      <w:marLeft w:val="0"/>
      <w:marRight w:val="0"/>
      <w:marTop w:val="0"/>
      <w:marBottom w:val="0"/>
      <w:divBdr>
        <w:top w:val="none" w:sz="0" w:space="0" w:color="auto"/>
        <w:left w:val="none" w:sz="0" w:space="0" w:color="auto"/>
        <w:bottom w:val="none" w:sz="0" w:space="0" w:color="auto"/>
        <w:right w:val="none" w:sz="0" w:space="0" w:color="auto"/>
      </w:divBdr>
    </w:div>
    <w:div w:id="119180050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6118441">
      <w:bodyDiv w:val="1"/>
      <w:marLeft w:val="0"/>
      <w:marRight w:val="0"/>
      <w:marTop w:val="0"/>
      <w:marBottom w:val="0"/>
      <w:divBdr>
        <w:top w:val="none" w:sz="0" w:space="0" w:color="auto"/>
        <w:left w:val="none" w:sz="0" w:space="0" w:color="auto"/>
        <w:bottom w:val="none" w:sz="0" w:space="0" w:color="auto"/>
        <w:right w:val="none" w:sz="0" w:space="0" w:color="auto"/>
      </w:divBdr>
    </w:div>
    <w:div w:id="1217089223">
      <w:bodyDiv w:val="1"/>
      <w:marLeft w:val="0"/>
      <w:marRight w:val="0"/>
      <w:marTop w:val="0"/>
      <w:marBottom w:val="0"/>
      <w:divBdr>
        <w:top w:val="none" w:sz="0" w:space="0" w:color="auto"/>
        <w:left w:val="none" w:sz="0" w:space="0" w:color="auto"/>
        <w:bottom w:val="none" w:sz="0" w:space="0" w:color="auto"/>
        <w:right w:val="none" w:sz="0" w:space="0" w:color="auto"/>
      </w:divBdr>
    </w:div>
    <w:div w:id="1235890946">
      <w:bodyDiv w:val="1"/>
      <w:marLeft w:val="0"/>
      <w:marRight w:val="0"/>
      <w:marTop w:val="0"/>
      <w:marBottom w:val="0"/>
      <w:divBdr>
        <w:top w:val="none" w:sz="0" w:space="0" w:color="auto"/>
        <w:left w:val="none" w:sz="0" w:space="0" w:color="auto"/>
        <w:bottom w:val="none" w:sz="0" w:space="0" w:color="auto"/>
        <w:right w:val="none" w:sz="0" w:space="0" w:color="auto"/>
      </w:divBdr>
    </w:div>
    <w:div w:id="1236161696">
      <w:bodyDiv w:val="1"/>
      <w:marLeft w:val="0"/>
      <w:marRight w:val="0"/>
      <w:marTop w:val="0"/>
      <w:marBottom w:val="0"/>
      <w:divBdr>
        <w:top w:val="none" w:sz="0" w:space="0" w:color="auto"/>
        <w:left w:val="none" w:sz="0" w:space="0" w:color="auto"/>
        <w:bottom w:val="none" w:sz="0" w:space="0" w:color="auto"/>
        <w:right w:val="none" w:sz="0" w:space="0" w:color="auto"/>
      </w:divBdr>
    </w:div>
    <w:div w:id="1252425140">
      <w:bodyDiv w:val="1"/>
      <w:marLeft w:val="0"/>
      <w:marRight w:val="0"/>
      <w:marTop w:val="0"/>
      <w:marBottom w:val="0"/>
      <w:divBdr>
        <w:top w:val="none" w:sz="0" w:space="0" w:color="auto"/>
        <w:left w:val="none" w:sz="0" w:space="0" w:color="auto"/>
        <w:bottom w:val="none" w:sz="0" w:space="0" w:color="auto"/>
        <w:right w:val="none" w:sz="0" w:space="0" w:color="auto"/>
      </w:divBdr>
    </w:div>
    <w:div w:id="1273978620">
      <w:bodyDiv w:val="1"/>
      <w:marLeft w:val="0"/>
      <w:marRight w:val="0"/>
      <w:marTop w:val="0"/>
      <w:marBottom w:val="0"/>
      <w:divBdr>
        <w:top w:val="none" w:sz="0" w:space="0" w:color="auto"/>
        <w:left w:val="none" w:sz="0" w:space="0" w:color="auto"/>
        <w:bottom w:val="none" w:sz="0" w:space="0" w:color="auto"/>
        <w:right w:val="none" w:sz="0" w:space="0" w:color="auto"/>
      </w:divBdr>
    </w:div>
    <w:div w:id="1332417312">
      <w:bodyDiv w:val="1"/>
      <w:marLeft w:val="0"/>
      <w:marRight w:val="0"/>
      <w:marTop w:val="0"/>
      <w:marBottom w:val="0"/>
      <w:divBdr>
        <w:top w:val="none" w:sz="0" w:space="0" w:color="auto"/>
        <w:left w:val="none" w:sz="0" w:space="0" w:color="auto"/>
        <w:bottom w:val="none" w:sz="0" w:space="0" w:color="auto"/>
        <w:right w:val="none" w:sz="0" w:space="0" w:color="auto"/>
      </w:divBdr>
    </w:div>
    <w:div w:id="1356614425">
      <w:bodyDiv w:val="1"/>
      <w:marLeft w:val="0"/>
      <w:marRight w:val="0"/>
      <w:marTop w:val="0"/>
      <w:marBottom w:val="0"/>
      <w:divBdr>
        <w:top w:val="none" w:sz="0" w:space="0" w:color="auto"/>
        <w:left w:val="none" w:sz="0" w:space="0" w:color="auto"/>
        <w:bottom w:val="none" w:sz="0" w:space="0" w:color="auto"/>
        <w:right w:val="none" w:sz="0" w:space="0" w:color="auto"/>
      </w:divBdr>
    </w:div>
    <w:div w:id="1379280968">
      <w:bodyDiv w:val="1"/>
      <w:marLeft w:val="0"/>
      <w:marRight w:val="0"/>
      <w:marTop w:val="0"/>
      <w:marBottom w:val="0"/>
      <w:divBdr>
        <w:top w:val="none" w:sz="0" w:space="0" w:color="auto"/>
        <w:left w:val="none" w:sz="0" w:space="0" w:color="auto"/>
        <w:bottom w:val="none" w:sz="0" w:space="0" w:color="auto"/>
        <w:right w:val="none" w:sz="0" w:space="0" w:color="auto"/>
      </w:divBdr>
    </w:div>
    <w:div w:id="1543636118">
      <w:bodyDiv w:val="1"/>
      <w:marLeft w:val="0"/>
      <w:marRight w:val="0"/>
      <w:marTop w:val="0"/>
      <w:marBottom w:val="0"/>
      <w:divBdr>
        <w:top w:val="none" w:sz="0" w:space="0" w:color="auto"/>
        <w:left w:val="none" w:sz="0" w:space="0" w:color="auto"/>
        <w:bottom w:val="none" w:sz="0" w:space="0" w:color="auto"/>
        <w:right w:val="none" w:sz="0" w:space="0" w:color="auto"/>
      </w:divBdr>
    </w:div>
    <w:div w:id="1566650031">
      <w:bodyDiv w:val="1"/>
      <w:marLeft w:val="0"/>
      <w:marRight w:val="0"/>
      <w:marTop w:val="0"/>
      <w:marBottom w:val="0"/>
      <w:divBdr>
        <w:top w:val="none" w:sz="0" w:space="0" w:color="auto"/>
        <w:left w:val="none" w:sz="0" w:space="0" w:color="auto"/>
        <w:bottom w:val="none" w:sz="0" w:space="0" w:color="auto"/>
        <w:right w:val="none" w:sz="0" w:space="0" w:color="auto"/>
      </w:divBdr>
    </w:div>
    <w:div w:id="1714383135">
      <w:bodyDiv w:val="1"/>
      <w:marLeft w:val="0"/>
      <w:marRight w:val="0"/>
      <w:marTop w:val="0"/>
      <w:marBottom w:val="0"/>
      <w:divBdr>
        <w:top w:val="none" w:sz="0" w:space="0" w:color="auto"/>
        <w:left w:val="none" w:sz="0" w:space="0" w:color="auto"/>
        <w:bottom w:val="none" w:sz="0" w:space="0" w:color="auto"/>
        <w:right w:val="none" w:sz="0" w:space="0" w:color="auto"/>
      </w:divBdr>
      <w:divsChild>
        <w:div w:id="410735857">
          <w:blockQuote w:val="1"/>
          <w:marLeft w:val="720"/>
          <w:marRight w:val="720"/>
          <w:marTop w:val="100"/>
          <w:marBottom w:val="100"/>
          <w:divBdr>
            <w:top w:val="none" w:sz="0" w:space="0" w:color="auto"/>
            <w:left w:val="none" w:sz="0" w:space="0" w:color="auto"/>
            <w:bottom w:val="none" w:sz="0" w:space="0" w:color="auto"/>
            <w:right w:val="none" w:sz="0" w:space="0" w:color="auto"/>
          </w:divBdr>
        </w:div>
        <w:div w:id="76939960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767987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6695897">
      <w:bodyDiv w:val="1"/>
      <w:marLeft w:val="0"/>
      <w:marRight w:val="0"/>
      <w:marTop w:val="0"/>
      <w:marBottom w:val="0"/>
      <w:divBdr>
        <w:top w:val="none" w:sz="0" w:space="0" w:color="auto"/>
        <w:left w:val="none" w:sz="0" w:space="0" w:color="auto"/>
        <w:bottom w:val="none" w:sz="0" w:space="0" w:color="auto"/>
        <w:right w:val="none" w:sz="0" w:space="0" w:color="auto"/>
      </w:divBdr>
    </w:div>
    <w:div w:id="1915580034">
      <w:bodyDiv w:val="1"/>
      <w:marLeft w:val="0"/>
      <w:marRight w:val="0"/>
      <w:marTop w:val="0"/>
      <w:marBottom w:val="0"/>
      <w:divBdr>
        <w:top w:val="none" w:sz="0" w:space="0" w:color="auto"/>
        <w:left w:val="none" w:sz="0" w:space="0" w:color="auto"/>
        <w:bottom w:val="none" w:sz="0" w:space="0" w:color="auto"/>
        <w:right w:val="none" w:sz="0" w:space="0" w:color="auto"/>
      </w:divBdr>
    </w:div>
    <w:div w:id="1940289902">
      <w:bodyDiv w:val="1"/>
      <w:marLeft w:val="0"/>
      <w:marRight w:val="0"/>
      <w:marTop w:val="0"/>
      <w:marBottom w:val="0"/>
      <w:divBdr>
        <w:top w:val="none" w:sz="0" w:space="0" w:color="auto"/>
        <w:left w:val="none" w:sz="0" w:space="0" w:color="auto"/>
        <w:bottom w:val="none" w:sz="0" w:space="0" w:color="auto"/>
        <w:right w:val="none" w:sz="0" w:space="0" w:color="auto"/>
      </w:divBdr>
    </w:div>
    <w:div w:id="1997878618">
      <w:bodyDiv w:val="1"/>
      <w:marLeft w:val="0"/>
      <w:marRight w:val="0"/>
      <w:marTop w:val="0"/>
      <w:marBottom w:val="0"/>
      <w:divBdr>
        <w:top w:val="none" w:sz="0" w:space="0" w:color="auto"/>
        <w:left w:val="none" w:sz="0" w:space="0" w:color="auto"/>
        <w:bottom w:val="none" w:sz="0" w:space="0" w:color="auto"/>
        <w:right w:val="none" w:sz="0" w:space="0" w:color="auto"/>
      </w:divBdr>
    </w:div>
    <w:div w:id="202200940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210742">
      <w:bodyDiv w:val="1"/>
      <w:marLeft w:val="0"/>
      <w:marRight w:val="0"/>
      <w:marTop w:val="0"/>
      <w:marBottom w:val="0"/>
      <w:divBdr>
        <w:top w:val="none" w:sz="0" w:space="0" w:color="auto"/>
        <w:left w:val="none" w:sz="0" w:space="0" w:color="auto"/>
        <w:bottom w:val="none" w:sz="0" w:space="0" w:color="auto"/>
        <w:right w:val="none" w:sz="0" w:space="0" w:color="auto"/>
      </w:divBdr>
    </w:div>
    <w:div w:id="2091609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save/https://www.bcn.cl/leychile/navegar?idNorma=1196414"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www.bcn.cl/leychile/navegar?idNorma=1067194&amp;idParte=9509251"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save/https://sisat.sma.gob.cl/compensacion/publico/registro"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save/https://portal.sma.gob.cl/index.php/primeros-sancionatorios-por-impuestos-verdes-sma-formula-cargos-gravisimos-contra-dos-empresas-por-no-reportar-emisiones-en-registro-de-emisiones-y-transferencias-de-contaminante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114</Pages>
  <Words>24559</Words>
  <Characters>135077</Characters>
  <Application>Microsoft Office Word</Application>
  <DocSecurity>0</DocSecurity>
  <Lines>1125</Lines>
  <Paragraphs>318</Paragraphs>
  <ScaleCrop>false</ScaleCrop>
  <Company/>
  <LinksUpToDate>false</LinksUpToDate>
  <CharactersWithSpaces>159318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FerradaNehme</cp:lastModifiedBy>
  <cp:revision>93</cp:revision>
  <cp:lastPrinted>2025-03-21T00:14:00Z</cp:lastPrinted>
  <dcterms:created xsi:type="dcterms:W3CDTF">2025-05-30T20:44:00Z</dcterms:created>
  <dcterms:modified xsi:type="dcterms:W3CDTF">2025-07-17T22:56:00Z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